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E8" w:rsidRDefault="00DC56E8" w:rsidP="00DC56E8">
      <w:bookmarkStart w:id="0" w:name="bookmark0"/>
      <w:r w:rsidRPr="00DC56E8">
        <w:rPr>
          <w:noProof/>
          <w:lang w:val="ru-RU" w:eastAsia="ru-RU" w:bidi="ar-SA"/>
        </w:rPr>
        <w:drawing>
          <wp:inline distT="0" distB="0" distL="0" distR="0" wp14:anchorId="283F0765" wp14:editId="150B6BF6">
            <wp:extent cx="6025896" cy="856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E8" w:rsidRDefault="00DC56E8">
      <w:pPr>
        <w:rPr>
          <w:rFonts w:ascii="Calibri" w:eastAsia="Calibri" w:hAnsi="Calibri" w:cs="Calibri"/>
          <w:b/>
          <w:bCs/>
          <w:spacing w:val="-1"/>
          <w:sz w:val="33"/>
          <w:szCs w:val="33"/>
        </w:rPr>
      </w:pPr>
      <w:r>
        <w:br w:type="page"/>
      </w:r>
    </w:p>
    <w:p w:rsidR="00B72DA5" w:rsidRDefault="0030004A" w:rsidP="00DC56E8">
      <w:pPr>
        <w:pStyle w:val="870"/>
        <w:shd w:val="clear" w:color="auto" w:fill="auto"/>
        <w:spacing w:line="330" w:lineRule="exact"/>
        <w:ind w:left="340"/>
        <w:jc w:val="center"/>
      </w:pPr>
      <w:r>
        <w:lastRenderedPageBreak/>
        <w:t>CUPRINS</w:t>
      </w:r>
      <w:bookmarkEnd w:id="0"/>
    </w:p>
    <w:p w:rsidR="00B72DA5" w:rsidRDefault="0030004A" w:rsidP="00DC56E8">
      <w:pPr>
        <w:pStyle w:val="190"/>
        <w:numPr>
          <w:ilvl w:val="0"/>
          <w:numId w:val="1"/>
        </w:numPr>
        <w:shd w:val="clear" w:color="auto" w:fill="auto"/>
        <w:tabs>
          <w:tab w:val="left" w:pos="378"/>
          <w:tab w:val="left" w:leader="dot" w:pos="6889"/>
          <w:tab w:val="right" w:pos="7365"/>
        </w:tabs>
        <w:spacing w:line="190" w:lineRule="exact"/>
        <w:ind w:left="20"/>
      </w:pPr>
      <w:r>
        <w:rPr>
          <w:rStyle w:val="19BookAntiqua95pt0pt"/>
        </w:rPr>
        <w:t>COMPANIILE SI PIEŢELE DE CAPITAL</w:t>
      </w:r>
      <w:r>
        <w:rPr>
          <w:rStyle w:val="19BookAntiqua95pt0pt"/>
        </w:rPr>
        <w:tab/>
      </w:r>
      <w:r>
        <w:rPr>
          <w:rStyle w:val="19BookAntiqua95pt0pt"/>
        </w:rPr>
        <w:tab/>
        <w:t>7</w:t>
      </w:r>
    </w:p>
    <w:p w:rsidR="00B72DA5" w:rsidRDefault="0030004A" w:rsidP="00DC56E8">
      <w:pPr>
        <w:pStyle w:val="190"/>
        <w:shd w:val="clear" w:color="auto" w:fill="auto"/>
        <w:tabs>
          <w:tab w:val="right" w:pos="2705"/>
        </w:tabs>
        <w:spacing w:line="80" w:lineRule="exact"/>
        <w:ind w:left="1980"/>
      </w:pPr>
      <w:r>
        <w:rPr>
          <w:rStyle w:val="19BookAntiqua4pt0pt"/>
        </w:rPr>
        <w:t>9</w:t>
      </w:r>
      <w:r>
        <w:rPr>
          <w:rStyle w:val="19BookAntiqua4pt0pt"/>
        </w:rPr>
        <w:tab/>
        <w:t>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Ierarhia investitorilor într-o companie</w:t>
      </w:r>
      <w:r>
        <w:rPr>
          <w:rStyle w:val="19BookAntiqua95pt0pt"/>
        </w:rPr>
        <w:tab/>
      </w:r>
      <w:r>
        <w:rPr>
          <w:rStyle w:val="19BookAntiqua95pt0pt"/>
        </w:rPr>
        <w:tab/>
        <w:t>7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Riscurile investiţiei într-o companie</w:t>
      </w:r>
      <w:r>
        <w:rPr>
          <w:rStyle w:val="19BookAntiqua95pt0pt"/>
        </w:rPr>
        <w:tab/>
      </w:r>
      <w:r>
        <w:rPr>
          <w:rStyle w:val="19BookAntiqua95pt0pt"/>
        </w:rPr>
        <w:tab/>
        <w:t>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Pieţele de capital şi bursele de valori</w:t>
      </w:r>
      <w:r>
        <w:rPr>
          <w:rStyle w:val="19BookAntiqua95pt0pt"/>
        </w:rPr>
        <w:tab/>
      </w:r>
      <w:r>
        <w:rPr>
          <w:rStyle w:val="19BookAntiqua95pt0pt"/>
        </w:rPr>
        <w:tab/>
        <w:t>11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Caracteristicile burselor de valori</w:t>
      </w:r>
      <w:r>
        <w:rPr>
          <w:rStyle w:val="19BookAntiqua95pt0pt"/>
        </w:rPr>
        <w:tab/>
      </w:r>
      <w:r>
        <w:rPr>
          <w:rStyle w:val="19BookAntiqua95pt0pt"/>
        </w:rPr>
        <w:tab/>
        <w:t>19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Instrumentele financiare tranzacţionate la bursele de valori</w:t>
      </w:r>
      <w:r>
        <w:rPr>
          <w:rStyle w:val="19BookAntiqua95pt0pt"/>
        </w:rPr>
        <w:tab/>
      </w:r>
      <w:r>
        <w:rPr>
          <w:rStyle w:val="19BookAntiqua95pt0pt"/>
        </w:rPr>
        <w:tab/>
        <w:t>24</w:t>
      </w:r>
    </w:p>
    <w:p w:rsidR="00B72DA5" w:rsidRDefault="0030004A" w:rsidP="00DC56E8">
      <w:pPr>
        <w:pStyle w:val="190"/>
        <w:numPr>
          <w:ilvl w:val="0"/>
          <w:numId w:val="1"/>
        </w:numPr>
        <w:shd w:val="clear" w:color="auto" w:fill="auto"/>
        <w:tabs>
          <w:tab w:val="left" w:pos="378"/>
          <w:tab w:val="left" w:leader="dot" w:pos="6889"/>
        </w:tabs>
        <w:spacing w:line="190" w:lineRule="exact"/>
        <w:ind w:left="20"/>
      </w:pPr>
      <w:r>
        <w:rPr>
          <w:rStyle w:val="19BookAntiqua95pt0pt"/>
        </w:rPr>
        <w:t>ACŢIUNILE SI TRANZACŢIILE CU ACŢIUNI</w:t>
      </w:r>
      <w:r>
        <w:rPr>
          <w:rStyle w:val="19BookAntiqua95pt0pt"/>
        </w:rPr>
        <w:tab/>
        <w:t xml:space="preserve"> 28</w:t>
      </w:r>
    </w:p>
    <w:p w:rsidR="00B72DA5" w:rsidRDefault="0030004A" w:rsidP="00DC56E8">
      <w:pPr>
        <w:pStyle w:val="190"/>
        <w:shd w:val="clear" w:color="auto" w:fill="auto"/>
        <w:tabs>
          <w:tab w:val="right" w:pos="1783"/>
          <w:tab w:val="right" w:pos="3314"/>
          <w:tab w:val="right" w:pos="4802"/>
        </w:tabs>
        <w:spacing w:line="80" w:lineRule="exact"/>
        <w:ind w:left="660"/>
      </w:pPr>
      <w:r>
        <w:rPr>
          <w:rStyle w:val="19BookAntiqua4pt0pt"/>
        </w:rPr>
        <w:t>9</w:t>
      </w:r>
      <w:r>
        <w:rPr>
          <w:rStyle w:val="19BookAntiqua4pt0pt"/>
        </w:rPr>
        <w:tab/>
        <w:t>9</w:t>
      </w:r>
      <w:r>
        <w:rPr>
          <w:rStyle w:val="19BookAntiqua4pt0pt"/>
        </w:rPr>
        <w:tab/>
        <w:t>9</w:t>
      </w:r>
      <w:r>
        <w:rPr>
          <w:rStyle w:val="19BookAntiqua4pt0pt"/>
        </w:rPr>
        <w:tab/>
        <w:t>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Acţiunile ca drepturi de proprietate</w:t>
      </w:r>
      <w:r>
        <w:rPr>
          <w:rStyle w:val="19BookAntiqua95pt0pt"/>
        </w:rPr>
        <w:tab/>
      </w:r>
      <w:r>
        <w:rPr>
          <w:rStyle w:val="19BookAntiqua95pt0pt"/>
        </w:rPr>
        <w:tab/>
        <w:t>28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Bursele şi indicii bursieri</w:t>
      </w:r>
      <w:r>
        <w:rPr>
          <w:rStyle w:val="19BookAntiqua95pt0pt"/>
        </w:rPr>
        <w:tab/>
      </w:r>
      <w:r>
        <w:rPr>
          <w:rStyle w:val="19BookAntiqua95pt0pt"/>
        </w:rPr>
        <w:tab/>
        <w:t>31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Emoţia, frica şi lăcomia</w:t>
      </w:r>
      <w:r>
        <w:rPr>
          <w:rStyle w:val="19BookAntiqua95pt0pt"/>
        </w:rPr>
        <w:tab/>
      </w:r>
      <w:r>
        <w:rPr>
          <w:rStyle w:val="19BookAntiqua95pt0pt"/>
        </w:rPr>
        <w:tab/>
        <w:t>32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Vânzarea la scurt a acţiunilor</w:t>
      </w:r>
      <w:r>
        <w:rPr>
          <w:rStyle w:val="19BookAntiqua95pt0pt"/>
        </w:rPr>
        <w:tab/>
      </w:r>
      <w:r>
        <w:rPr>
          <w:rStyle w:val="19BookAntiqua95pt0pt"/>
        </w:rPr>
        <w:tab/>
        <w:t>33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Marja şi vânzarea fără acoperire</w:t>
      </w:r>
      <w:r>
        <w:rPr>
          <w:rStyle w:val="19BookAntiqua95pt0pt"/>
        </w:rPr>
        <w:tab/>
      </w:r>
      <w:r>
        <w:rPr>
          <w:rStyle w:val="19BookAntiqua95pt0pt"/>
        </w:rPr>
        <w:tab/>
        <w:t>34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Caracteristicile şi tipologia acţiunilor</w:t>
      </w:r>
      <w:r>
        <w:rPr>
          <w:rStyle w:val="19BookAntiqua95pt0pt"/>
        </w:rPr>
        <w:tab/>
      </w:r>
      <w:r>
        <w:rPr>
          <w:rStyle w:val="19BookAntiqua95pt0pt"/>
        </w:rPr>
        <w:tab/>
        <w:t>35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Simbolul şi valoarea unei acţiuni</w:t>
      </w:r>
      <w:r>
        <w:rPr>
          <w:rStyle w:val="19BookAntiqua95pt0pt"/>
        </w:rPr>
        <w:tab/>
      </w:r>
      <w:r>
        <w:rPr>
          <w:rStyle w:val="19BookAntiqua95pt0pt"/>
        </w:rPr>
        <w:tab/>
        <w:t>39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Oferta publică iniţială</w:t>
      </w:r>
      <w:r>
        <w:rPr>
          <w:rStyle w:val="19BookAntiqua95pt0pt"/>
        </w:rPr>
        <w:tab/>
      </w:r>
      <w:r>
        <w:rPr>
          <w:rStyle w:val="19BookAntiqua95pt0pt"/>
        </w:rPr>
        <w:tab/>
        <w:t>41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Planificarea şi procesul emisiunii de acţiuni</w:t>
      </w:r>
      <w:r>
        <w:rPr>
          <w:rStyle w:val="19BookAntiqua95pt0pt"/>
        </w:rPr>
        <w:tab/>
      </w:r>
      <w:r>
        <w:rPr>
          <w:rStyle w:val="19BookAntiqua95pt0pt"/>
        </w:rPr>
        <w:tab/>
        <w:t>44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3" w:lineRule="exact"/>
        <w:ind w:left="20"/>
      </w:pPr>
      <w:r>
        <w:rPr>
          <w:rStyle w:val="19BookAntiqua95pt0pt"/>
        </w:rPr>
        <w:t>Cum pot fi investiţi banii în acţiuni?</w:t>
      </w:r>
      <w:r>
        <w:rPr>
          <w:rStyle w:val="19BookAntiqua95pt0pt"/>
        </w:rPr>
        <w:tab/>
      </w:r>
      <w:r>
        <w:rPr>
          <w:rStyle w:val="19BookAntiqua95pt0pt"/>
        </w:rPr>
        <w:tab/>
        <w:t>49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</w:tabs>
        <w:spacing w:line="190" w:lineRule="exact"/>
        <w:ind w:left="20"/>
      </w:pPr>
      <w:r>
        <w:rPr>
          <w:rStyle w:val="19BookAntiqua95pt0pt"/>
        </w:rPr>
        <w:t>3.OBLIGAŢIUNILE SI ÎMPRUMUTURILE</w:t>
      </w:r>
      <w:r>
        <w:rPr>
          <w:rStyle w:val="19BookAntiqua95pt0pt"/>
        </w:rPr>
        <w:tab/>
        <w:t xml:space="preserve"> 52</w:t>
      </w:r>
    </w:p>
    <w:p w:rsidR="00B72DA5" w:rsidRDefault="0030004A" w:rsidP="00DC56E8">
      <w:pPr>
        <w:pStyle w:val="190"/>
        <w:shd w:val="clear" w:color="auto" w:fill="auto"/>
        <w:tabs>
          <w:tab w:val="right" w:pos="2334"/>
        </w:tabs>
        <w:spacing w:line="80" w:lineRule="exact"/>
        <w:ind w:left="1220"/>
      </w:pPr>
      <w:r>
        <w:rPr>
          <w:rStyle w:val="19BookAntiqua4pt0pt"/>
        </w:rPr>
        <w:t>9</w:t>
      </w:r>
      <w:r>
        <w:rPr>
          <w:rStyle w:val="19BookAntiqua4pt0pt"/>
        </w:rPr>
        <w:tab/>
        <w:t>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Termeni cheie în utilizarea oligaţiunilor</w:t>
      </w:r>
      <w:r>
        <w:rPr>
          <w:rStyle w:val="19BookAntiqua95pt0pt"/>
        </w:rPr>
        <w:tab/>
      </w:r>
      <w:r>
        <w:rPr>
          <w:rStyle w:val="19BookAntiqua95pt0pt"/>
        </w:rPr>
        <w:tab/>
        <w:t>53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Ratingul obligaţiunilor</w:t>
      </w:r>
      <w:r>
        <w:rPr>
          <w:rStyle w:val="19BookAntiqua95pt0pt"/>
        </w:rPr>
        <w:tab/>
      </w:r>
      <w:r>
        <w:rPr>
          <w:rStyle w:val="19BookAntiqua95pt0pt"/>
        </w:rPr>
        <w:tab/>
        <w:t>56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Oferta publică şi plasamentul privat</w:t>
      </w:r>
      <w:r>
        <w:rPr>
          <w:rStyle w:val="19BookAntiqua95pt0pt"/>
        </w:rPr>
        <w:tab/>
      </w:r>
      <w:r>
        <w:rPr>
          <w:rStyle w:val="19BookAntiqua95pt0pt"/>
        </w:rPr>
        <w:tab/>
        <w:t>57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Emisiunea, listarea şi post-listarea în România</w:t>
      </w:r>
      <w:r>
        <w:rPr>
          <w:rStyle w:val="19BookAntiqua95pt0pt"/>
        </w:rPr>
        <w:tab/>
      </w:r>
      <w:r>
        <w:rPr>
          <w:rStyle w:val="19BookAntiqua95pt0pt"/>
        </w:rPr>
        <w:tab/>
        <w:t>58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Modalităţi de investiţii în obligaţiuni</w:t>
      </w:r>
      <w:r>
        <w:rPr>
          <w:rStyle w:val="19BookAntiqua95pt0pt"/>
        </w:rPr>
        <w:tab/>
      </w:r>
      <w:r>
        <w:rPr>
          <w:rStyle w:val="19BookAntiqua95pt0pt"/>
        </w:rPr>
        <w:tab/>
        <w:t>62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Emisiunea obligaţiunilor la nivel internaţional</w:t>
      </w:r>
      <w:r>
        <w:rPr>
          <w:rStyle w:val="19BookAntiqua95pt0pt"/>
        </w:rPr>
        <w:tab/>
      </w:r>
      <w:r>
        <w:rPr>
          <w:rStyle w:val="19BookAntiqua95pt0pt"/>
        </w:rPr>
        <w:tab/>
        <w:t>62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Taxonomia obligaţiunilor</w:t>
      </w:r>
      <w:r>
        <w:rPr>
          <w:rStyle w:val="19BookAntiqua95pt0pt"/>
        </w:rPr>
        <w:tab/>
      </w:r>
      <w:r>
        <w:rPr>
          <w:rStyle w:val="19BookAntiqua95pt0pt"/>
        </w:rPr>
        <w:tab/>
        <w:t>65</w:t>
      </w:r>
    </w:p>
    <w:p w:rsidR="00B72DA5" w:rsidRDefault="0030004A" w:rsidP="00DC56E8">
      <w:pPr>
        <w:pStyle w:val="190"/>
        <w:numPr>
          <w:ilvl w:val="0"/>
          <w:numId w:val="2"/>
        </w:numPr>
        <w:shd w:val="clear" w:color="auto" w:fill="auto"/>
        <w:tabs>
          <w:tab w:val="left" w:pos="378"/>
          <w:tab w:val="left" w:leader="dot" w:pos="6889"/>
        </w:tabs>
        <w:spacing w:line="298" w:lineRule="exact"/>
        <w:ind w:left="20"/>
      </w:pPr>
      <w:r>
        <w:rPr>
          <w:rStyle w:val="19BookAntiqua95pt0pt"/>
        </w:rPr>
        <w:t>FUTURES, OPTIONS, SWAP</w:t>
      </w:r>
      <w:r>
        <w:rPr>
          <w:rStyle w:val="19BookAntiqua95pt0pt"/>
        </w:rPr>
        <w:tab/>
        <w:t xml:space="preserve"> 74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Derivatele: activul subiacent şi derivatul însuşi</w:t>
      </w:r>
      <w:r>
        <w:rPr>
          <w:rStyle w:val="19BookAntiqua95pt0pt"/>
        </w:rPr>
        <w:tab/>
      </w:r>
      <w:r>
        <w:rPr>
          <w:rStyle w:val="19BookAntiqua95pt0pt"/>
        </w:rPr>
        <w:tab/>
        <w:t>74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Futures şi contractele futures</w:t>
      </w:r>
      <w:r>
        <w:rPr>
          <w:rStyle w:val="19BookAntiqua95pt0pt"/>
        </w:rPr>
        <w:tab/>
      </w:r>
      <w:r>
        <w:rPr>
          <w:rStyle w:val="19BookAntiqua95pt0pt"/>
        </w:rPr>
        <w:tab/>
        <w:t>77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Standardizarea contractelor futures</w:t>
      </w:r>
      <w:r>
        <w:rPr>
          <w:rStyle w:val="19BookAntiqua95pt0pt"/>
        </w:rPr>
        <w:tab/>
      </w:r>
      <w:r>
        <w:rPr>
          <w:rStyle w:val="19BookAntiqua95pt0pt"/>
        </w:rPr>
        <w:tab/>
        <w:t>77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197"/>
          <w:tab w:val="left" w:leader="dot" w:pos="6889"/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Clearing house în tranzacţiile financiare</w:t>
      </w:r>
      <w:r>
        <w:rPr>
          <w:rStyle w:val="19BookAntiqua95pt0pt"/>
        </w:rPr>
        <w:tab/>
      </w:r>
      <w:r>
        <w:rPr>
          <w:rStyle w:val="19BookAntiqua95pt0pt"/>
        </w:rPr>
        <w:tab/>
      </w:r>
      <w:r>
        <w:rPr>
          <w:rStyle w:val="19BookAntiqua95pt0pt"/>
        </w:rPr>
        <w:tab/>
        <w:t>79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Hedgerii, speculatorii şi arbitraj orii</w:t>
      </w:r>
      <w:r>
        <w:rPr>
          <w:rStyle w:val="19BookAntiqua95pt0pt"/>
        </w:rPr>
        <w:tab/>
      </w:r>
      <w:r>
        <w:rPr>
          <w:rStyle w:val="19BookAntiqua95pt0pt"/>
        </w:rPr>
        <w:tab/>
        <w:t>80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Options şi contractele options</w:t>
      </w:r>
      <w:r>
        <w:rPr>
          <w:rStyle w:val="19BookAntiqua95pt0pt"/>
        </w:rPr>
        <w:tab/>
      </w:r>
      <w:r>
        <w:rPr>
          <w:rStyle w:val="19BookAntiqua95pt0pt"/>
        </w:rPr>
        <w:tab/>
        <w:t>83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Tipologia opţiunilor</w:t>
      </w:r>
      <w:r>
        <w:rPr>
          <w:rStyle w:val="19BookAntiqua95pt0pt"/>
        </w:rPr>
        <w:tab/>
      </w:r>
      <w:r>
        <w:rPr>
          <w:rStyle w:val="19BookAntiqua95pt0pt"/>
        </w:rPr>
        <w:tab/>
        <w:t>86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Elementele contractului options</w:t>
      </w:r>
      <w:r>
        <w:rPr>
          <w:rStyle w:val="19BookAntiqua95pt0pt"/>
        </w:rPr>
        <w:tab/>
      </w:r>
      <w:r>
        <w:rPr>
          <w:rStyle w:val="19BookAntiqua95pt0pt"/>
        </w:rPr>
        <w:tab/>
        <w:t>87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89"/>
          <w:tab w:val="right" w:pos="7365"/>
        </w:tabs>
        <w:spacing w:line="298" w:lineRule="exact"/>
        <w:ind w:left="20"/>
      </w:pPr>
      <w:r>
        <w:rPr>
          <w:rStyle w:val="19BookAntiqua95pt0pt"/>
        </w:rPr>
        <w:t>Mecanismul contractelor options</w:t>
      </w:r>
      <w:r>
        <w:rPr>
          <w:rStyle w:val="19BookAntiqua95pt0pt"/>
        </w:rPr>
        <w:tab/>
      </w:r>
      <w:r>
        <w:rPr>
          <w:rStyle w:val="19BookAntiqua95pt0pt"/>
        </w:rPr>
        <w:tab/>
        <w:t>91</w:t>
      </w:r>
    </w:p>
    <w:p w:rsidR="00B72DA5" w:rsidRDefault="00B72DA5">
      <w:pPr>
        <w:rPr>
          <w:sz w:val="2"/>
          <w:szCs w:val="2"/>
        </w:rPr>
      </w:pPr>
    </w:p>
    <w:p w:rsidR="00DC56E8" w:rsidRDefault="00DC56E8">
      <w:pPr>
        <w:rPr>
          <w:sz w:val="2"/>
          <w:szCs w:val="2"/>
        </w:rPr>
      </w:pPr>
    </w:p>
    <w:p w:rsidR="00DC56E8" w:rsidRDefault="00DC56E8">
      <w:pPr>
        <w:rPr>
          <w:sz w:val="2"/>
          <w:szCs w:val="2"/>
        </w:rPr>
      </w:pPr>
    </w:p>
    <w:p w:rsidR="00B72DA5" w:rsidRDefault="0030004A" w:rsidP="00DC56E8">
      <w:pPr>
        <w:pStyle w:val="190"/>
        <w:shd w:val="clear" w:color="auto" w:fill="auto"/>
        <w:tabs>
          <w:tab w:val="left" w:leader="dot" w:pos="6892"/>
          <w:tab w:val="center" w:pos="7277"/>
        </w:tabs>
        <w:spacing w:line="298" w:lineRule="exact"/>
        <w:ind w:left="40"/>
      </w:pPr>
      <w:r>
        <w:rPr>
          <w:rStyle w:val="19BookAntiqua95pt0pt"/>
        </w:rPr>
        <w:t xml:space="preserve">Investiţia în </w:t>
      </w:r>
      <w:r w:rsidRPr="00DC56E8">
        <w:rPr>
          <w:rStyle w:val="19BookAntiqua95pt0pt"/>
          <w:lang w:eastAsia="fr-FR" w:bidi="fr-FR"/>
        </w:rPr>
        <w:t>options</w:t>
      </w:r>
      <w:r>
        <w:rPr>
          <w:rStyle w:val="19BookAntiqua95pt0pt"/>
        </w:rPr>
        <w:tab/>
      </w:r>
      <w:r>
        <w:rPr>
          <w:rStyle w:val="19BookAntiqua95pt0pt"/>
        </w:rPr>
        <w:tab/>
        <w:t>92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  <w:tab w:val="center" w:pos="7277"/>
        </w:tabs>
        <w:spacing w:line="298" w:lineRule="exact"/>
        <w:ind w:left="40"/>
      </w:pPr>
      <w:r>
        <w:rPr>
          <w:rStyle w:val="19BookAntiqua95pt0pt"/>
        </w:rPr>
        <w:t>Contractele pe indici bursieri</w:t>
      </w:r>
      <w:r>
        <w:rPr>
          <w:rStyle w:val="19BookAntiqua95pt0pt"/>
        </w:rPr>
        <w:tab/>
      </w:r>
      <w:r>
        <w:rPr>
          <w:rStyle w:val="19BookAntiqua95pt0pt"/>
        </w:rPr>
        <w:tab/>
        <w:t>93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  <w:tab w:val="center" w:pos="7277"/>
        </w:tabs>
        <w:spacing w:line="298" w:lineRule="exact"/>
        <w:ind w:left="40"/>
      </w:pPr>
      <w:r>
        <w:rPr>
          <w:rStyle w:val="19BookAntiqua95pt0pt"/>
        </w:rPr>
        <w:t>Swapul pe rata dobânzii şi pe mărfuri</w:t>
      </w:r>
      <w:r>
        <w:rPr>
          <w:rStyle w:val="19BookAntiqua95pt0pt"/>
        </w:rPr>
        <w:tab/>
      </w:r>
      <w:r>
        <w:rPr>
          <w:rStyle w:val="19BookAntiqua95pt0pt"/>
        </w:rPr>
        <w:tab/>
        <w:t>94</w:t>
      </w:r>
    </w:p>
    <w:p w:rsidR="00B72DA5" w:rsidRDefault="0030004A" w:rsidP="00DC56E8">
      <w:pPr>
        <w:pStyle w:val="190"/>
        <w:numPr>
          <w:ilvl w:val="0"/>
          <w:numId w:val="2"/>
        </w:numPr>
        <w:shd w:val="clear" w:color="auto" w:fill="auto"/>
        <w:tabs>
          <w:tab w:val="left" w:pos="398"/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MARILE BURSE INTERNAŢIONALE DE VALORI</w:t>
      </w:r>
      <w:r>
        <w:rPr>
          <w:rStyle w:val="19BookAntiqua95pt0pt"/>
        </w:rPr>
        <w:tab/>
        <w:t xml:space="preserve"> 98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  <w:tab w:val="center" w:pos="7277"/>
        </w:tabs>
        <w:spacing w:line="298" w:lineRule="exact"/>
        <w:ind w:left="40"/>
      </w:pPr>
      <w:r>
        <w:rPr>
          <w:rStyle w:val="19BookAntiqua95pt0pt"/>
        </w:rPr>
        <w:t xml:space="preserve">Intercontinental </w:t>
      </w:r>
      <w:r w:rsidRPr="00DC56E8">
        <w:rPr>
          <w:rStyle w:val="19BookAntiqua95pt0pt"/>
          <w:lang w:val="en-US" w:eastAsia="fr-FR" w:bidi="fr-FR"/>
        </w:rPr>
        <w:t xml:space="preserve">Exchange </w:t>
      </w:r>
      <w:r>
        <w:rPr>
          <w:rStyle w:val="19BookAntiqua95pt0pt"/>
        </w:rPr>
        <w:t xml:space="preserve">- </w:t>
      </w:r>
      <w:r w:rsidRPr="00DC56E8">
        <w:rPr>
          <w:rStyle w:val="19BookAntiqua95pt0pt"/>
          <w:lang w:val="en-US" w:eastAsia="fr-FR" w:bidi="fr-FR"/>
        </w:rPr>
        <w:t>New York Stock Exchange</w:t>
      </w:r>
      <w:r>
        <w:rPr>
          <w:rStyle w:val="19BookAntiqua95pt0pt"/>
        </w:rPr>
        <w:tab/>
      </w:r>
      <w:r>
        <w:rPr>
          <w:rStyle w:val="19BookAntiqua95pt0pt"/>
        </w:rPr>
        <w:tab/>
        <w:t>98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 xml:space="preserve">Japan </w:t>
      </w:r>
      <w:r w:rsidRPr="00DC56E8">
        <w:rPr>
          <w:rStyle w:val="19BookAntiqua95pt0pt"/>
          <w:lang w:val="en-US" w:eastAsia="fr-FR" w:bidi="fr-FR"/>
        </w:rPr>
        <w:t xml:space="preserve">Exchange </w:t>
      </w:r>
      <w:r>
        <w:rPr>
          <w:rStyle w:val="19BookAntiqua95pt0pt"/>
        </w:rPr>
        <w:t>Group</w:t>
      </w:r>
      <w:r>
        <w:rPr>
          <w:rStyle w:val="19BookAntiqua95pt0pt"/>
        </w:rPr>
        <w:tab/>
        <w:t xml:space="preserve"> 104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 xml:space="preserve">London </w:t>
      </w:r>
      <w:r w:rsidRPr="00DC56E8">
        <w:rPr>
          <w:rStyle w:val="19BookAntiqua95pt0pt"/>
          <w:lang w:val="en-US" w:eastAsia="fr-FR" w:bidi="fr-FR"/>
        </w:rPr>
        <w:t>Stock Exchange</w:t>
      </w:r>
      <w:r>
        <w:rPr>
          <w:rStyle w:val="19BookAntiqua95pt0pt"/>
        </w:rPr>
        <w:tab/>
        <w:t xml:space="preserve"> 107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Membri bursei în practica internaţională</w:t>
      </w:r>
      <w:r>
        <w:rPr>
          <w:rStyle w:val="19BookAntiqua95pt0pt"/>
        </w:rPr>
        <w:tab/>
        <w:t xml:space="preserve"> 110</w:t>
      </w:r>
    </w:p>
    <w:p w:rsidR="00B72DA5" w:rsidRDefault="0030004A" w:rsidP="00DC56E8">
      <w:pPr>
        <w:pStyle w:val="190"/>
        <w:numPr>
          <w:ilvl w:val="0"/>
          <w:numId w:val="2"/>
        </w:numPr>
        <w:shd w:val="clear" w:color="auto" w:fill="auto"/>
        <w:tabs>
          <w:tab w:val="left" w:pos="398"/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INDICII BURSIERI</w:t>
      </w:r>
      <w:r>
        <w:rPr>
          <w:rStyle w:val="19BookAntiqua95pt0pt"/>
        </w:rPr>
        <w:tab/>
        <w:t xml:space="preserve"> 112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Benchmark pentru economiile lumii</w:t>
      </w:r>
      <w:r>
        <w:rPr>
          <w:rStyle w:val="19BookAntiqua95pt0pt"/>
        </w:rPr>
        <w:tab/>
        <w:t xml:space="preserve"> 112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Utilitatea şi procedura de calcul</w:t>
      </w:r>
      <w:r>
        <w:rPr>
          <w:rStyle w:val="19BookAntiqua95pt0pt"/>
        </w:rPr>
        <w:tab/>
        <w:t xml:space="preserve"> 113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Categorii de indici bursieri</w:t>
      </w:r>
      <w:r>
        <w:rPr>
          <w:rStyle w:val="19BookAntiqua95pt0pt"/>
        </w:rPr>
        <w:tab/>
        <w:t xml:space="preserve"> 115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Piaţa internaţională a indicilor bursieri</w:t>
      </w:r>
      <w:r>
        <w:rPr>
          <w:rStyle w:val="19BookAntiqua95pt0pt"/>
        </w:rPr>
        <w:tab/>
        <w:t xml:space="preserve"> 116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lastRenderedPageBreak/>
        <w:t xml:space="preserve">Dow Jones Industrial </w:t>
      </w:r>
      <w:r w:rsidRPr="00DC56E8">
        <w:rPr>
          <w:rStyle w:val="19BookAntiqua95pt0pt0"/>
          <w:lang w:eastAsia="fr-FR" w:bidi="fr-FR"/>
        </w:rPr>
        <w:t>Average</w:t>
      </w:r>
      <w:r>
        <w:rPr>
          <w:rStyle w:val="19BookAntiqua95pt0pt"/>
        </w:rPr>
        <w:tab/>
        <w:t xml:space="preserve"> 116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 xml:space="preserve">Indicele Standard &amp; Poor's 500 </w:t>
      </w:r>
      <w:r w:rsidRPr="00DC56E8">
        <w:rPr>
          <w:rStyle w:val="19BookAntiqua95pt0pt0"/>
          <w:lang w:eastAsia="fr-FR" w:bidi="fr-FR"/>
        </w:rPr>
        <w:t>Composite</w:t>
      </w:r>
      <w:r>
        <w:rPr>
          <w:rStyle w:val="19BookAntiqua95pt0pt"/>
        </w:rPr>
        <w:tab/>
        <w:t xml:space="preserve"> 119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>Indicele NASDAQ 100</w:t>
      </w:r>
      <w:r>
        <w:rPr>
          <w:rStyle w:val="19BookAntiqua95pt0pt"/>
        </w:rPr>
        <w:tab/>
        <w:t xml:space="preserve"> 119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>FTSE 100 Index</w:t>
      </w:r>
      <w:r>
        <w:rPr>
          <w:rStyle w:val="19BookAntiqua95pt0pt"/>
        </w:rPr>
        <w:tab/>
        <w:t xml:space="preserve"> 120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>Indicele Nikkei 225</w:t>
      </w:r>
      <w:r>
        <w:rPr>
          <w:rStyle w:val="19BookAntiqua95pt0pt"/>
        </w:rPr>
        <w:tab/>
        <w:t xml:space="preserve"> 121</w:t>
      </w:r>
    </w:p>
    <w:p w:rsidR="00B72DA5" w:rsidRDefault="0030004A" w:rsidP="00DC56E8">
      <w:pPr>
        <w:pStyle w:val="190"/>
        <w:shd w:val="clear" w:color="auto" w:fill="auto"/>
        <w:tabs>
          <w:tab w:val="right" w:leader="dot" w:pos="7395"/>
          <w:tab w:val="left" w:leader="dot" w:pos="7595"/>
        </w:tabs>
        <w:spacing w:line="298" w:lineRule="exact"/>
        <w:ind w:left="320"/>
      </w:pPr>
      <w:r>
        <w:rPr>
          <w:rStyle w:val="19BookAntiqua95pt0pt0"/>
        </w:rPr>
        <w:t>Indicele DAX 30</w:t>
      </w:r>
      <w:r>
        <w:rPr>
          <w:rStyle w:val="19BookAntiqua95pt0pt"/>
        </w:rPr>
        <w:tab/>
        <w:t xml:space="preserve"> 121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  <w:lang w:val="fr-FR" w:eastAsia="fr-FR" w:bidi="fr-FR"/>
        </w:rPr>
        <w:t>Cotation Assistée en Continu</w:t>
      </w:r>
      <w:r>
        <w:rPr>
          <w:rStyle w:val="19BookAntiqua95pt0pt"/>
          <w:lang w:val="fr-FR" w:eastAsia="fr-FR" w:bidi="fr-FR"/>
        </w:rPr>
        <w:t xml:space="preserve"> 40</w:t>
      </w:r>
      <w:r>
        <w:rPr>
          <w:rStyle w:val="19BookAntiqua95pt0pt"/>
          <w:lang w:val="fr-FR" w:eastAsia="fr-FR" w:bidi="fr-FR"/>
        </w:rPr>
        <w:tab/>
        <w:t xml:space="preserve"> 122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 xml:space="preserve">Indicele </w:t>
      </w:r>
      <w:r w:rsidRPr="00DC56E8">
        <w:rPr>
          <w:rStyle w:val="19BookAntiqua95pt0pt0"/>
          <w:lang w:val="en-US" w:eastAsia="fr-FR" w:bidi="fr-FR"/>
        </w:rPr>
        <w:t>Russell Global</w:t>
      </w:r>
      <w:r w:rsidRPr="00DC56E8">
        <w:rPr>
          <w:rStyle w:val="19BookAntiqua95pt0pt"/>
          <w:lang w:val="en-US" w:eastAsia="fr-FR" w:bidi="fr-FR"/>
        </w:rPr>
        <w:tab/>
        <w:t xml:space="preserve"> 122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 xml:space="preserve">Indicele </w:t>
      </w:r>
      <w:r w:rsidRPr="00DC56E8">
        <w:rPr>
          <w:rStyle w:val="19BookAntiqua95pt0pt0"/>
          <w:lang w:val="en-US" w:eastAsia="fr-FR" w:bidi="fr-FR"/>
        </w:rPr>
        <w:t>MSCIEAFE</w:t>
      </w:r>
      <w:r w:rsidRPr="00DC56E8">
        <w:rPr>
          <w:rStyle w:val="19BookAntiqua95pt0pt"/>
          <w:lang w:val="en-US" w:eastAsia="fr-FR" w:bidi="fr-FR"/>
        </w:rPr>
        <w:tab/>
        <w:t xml:space="preserve"> 123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Indicii bursieri din România</w:t>
      </w:r>
      <w:r>
        <w:rPr>
          <w:rStyle w:val="19BookAntiqua95pt0pt"/>
        </w:rPr>
        <w:tab/>
        <w:t xml:space="preserve"> 124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 xml:space="preserve">Indicele Bucharest </w:t>
      </w:r>
      <w:r w:rsidRPr="00DC56E8">
        <w:rPr>
          <w:rStyle w:val="19BookAntiqua95pt0pt0"/>
          <w:lang w:val="en-US" w:eastAsia="fr-FR" w:bidi="fr-FR"/>
        </w:rPr>
        <w:t>Exchange Trading</w:t>
      </w:r>
      <w:r>
        <w:rPr>
          <w:rStyle w:val="19BookAntiqua95pt0pt"/>
        </w:rPr>
        <w:tab/>
        <w:t xml:space="preserve"> 124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>Indicele BET-BK</w:t>
      </w:r>
      <w:r>
        <w:rPr>
          <w:rStyle w:val="19BookAntiqua95pt0pt"/>
        </w:rPr>
        <w:tab/>
        <w:t xml:space="preserve"> 126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>Indicele BET--FI</w:t>
      </w:r>
      <w:r>
        <w:rPr>
          <w:rStyle w:val="19BookAntiqua95pt0pt"/>
        </w:rPr>
        <w:tab/>
        <w:t xml:space="preserve"> 127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>Indicele BET-NG</w:t>
      </w:r>
      <w:r>
        <w:rPr>
          <w:rStyle w:val="19BookAntiqua95pt0pt"/>
        </w:rPr>
        <w:tab/>
        <w:t xml:space="preserve"> 128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320"/>
      </w:pPr>
      <w:r>
        <w:rPr>
          <w:rStyle w:val="19BookAntiqua95pt0pt0"/>
        </w:rPr>
        <w:t>Indicele ROTX</w:t>
      </w:r>
      <w:r>
        <w:rPr>
          <w:rStyle w:val="19BookAntiqua95pt0pt"/>
        </w:rPr>
        <w:tab/>
        <w:t xml:space="preserve"> 129</w:t>
      </w:r>
    </w:p>
    <w:p w:rsidR="00B72DA5" w:rsidRDefault="0030004A" w:rsidP="00DC56E8">
      <w:pPr>
        <w:pStyle w:val="190"/>
        <w:numPr>
          <w:ilvl w:val="0"/>
          <w:numId w:val="2"/>
        </w:numPr>
        <w:shd w:val="clear" w:color="auto" w:fill="auto"/>
        <w:tabs>
          <w:tab w:val="left" w:pos="398"/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PIAŢA DE CAPITAL DIN ROMÂNIA</w:t>
      </w:r>
      <w:r>
        <w:rPr>
          <w:rStyle w:val="19BookAntiqua95pt0pt"/>
        </w:rPr>
        <w:tab/>
        <w:t xml:space="preserve"> 130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Investitorii şi investiţiile pe piaţa de capital din România</w:t>
      </w:r>
      <w:r>
        <w:rPr>
          <w:rStyle w:val="19BookAntiqua95pt0pt"/>
        </w:rPr>
        <w:tab/>
        <w:t xml:space="preserve"> 131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Bursa de Valori Bucureşti</w:t>
      </w:r>
      <w:r>
        <w:rPr>
          <w:rStyle w:val="19BookAntiqua95pt0pt"/>
        </w:rPr>
        <w:tab/>
        <w:t xml:space="preserve"> 133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Societăţile de Servicii de Investiţii Financiare</w:t>
      </w:r>
      <w:r>
        <w:rPr>
          <w:rStyle w:val="19BookAntiqua95pt0pt"/>
        </w:rPr>
        <w:tab/>
        <w:t xml:space="preserve"> 141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Autoritatea de Supraveghere Financiară</w:t>
      </w:r>
      <w:r>
        <w:rPr>
          <w:rStyle w:val="19BookAntiqua95pt0pt"/>
        </w:rPr>
        <w:tab/>
        <w:t xml:space="preserve"> 143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Depozitarul Central</w:t>
      </w:r>
      <w:r>
        <w:rPr>
          <w:rStyle w:val="19BookAntiqua95pt0pt"/>
        </w:rPr>
        <w:tab/>
        <w:t xml:space="preserve"> 144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Casele de Compensare</w:t>
      </w:r>
      <w:r>
        <w:rPr>
          <w:rStyle w:val="19BookAntiqua95pt0pt"/>
        </w:rPr>
        <w:tab/>
        <w:t xml:space="preserve"> 146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Institutul de Guvernanţă Corporativă</w:t>
      </w:r>
      <w:r>
        <w:rPr>
          <w:rStyle w:val="19BookAntiqua95pt0pt"/>
        </w:rPr>
        <w:tab/>
        <w:t xml:space="preserve"> 146</w:t>
      </w:r>
    </w:p>
    <w:p w:rsidR="00B72DA5" w:rsidRDefault="0030004A" w:rsidP="00DC56E8">
      <w:pPr>
        <w:pStyle w:val="190"/>
        <w:shd w:val="clear" w:color="auto" w:fill="auto"/>
        <w:tabs>
          <w:tab w:val="left" w:leader="dot" w:pos="6892"/>
        </w:tabs>
        <w:spacing w:line="298" w:lineRule="exact"/>
        <w:ind w:left="40"/>
      </w:pPr>
      <w:r>
        <w:rPr>
          <w:rStyle w:val="19BookAntiqua95pt0pt"/>
        </w:rPr>
        <w:t>Fondul de Compensare a Investitorilor</w:t>
      </w:r>
      <w:r>
        <w:rPr>
          <w:rStyle w:val="19BookAntiqua95pt0pt"/>
        </w:rPr>
        <w:tab/>
        <w:t xml:space="preserve"> 146</w:t>
      </w:r>
    </w:p>
    <w:p w:rsidR="00B72DA5" w:rsidRDefault="0030004A" w:rsidP="00DC56E8">
      <w:pPr>
        <w:pStyle w:val="300"/>
        <w:shd w:val="clear" w:color="auto" w:fill="auto"/>
        <w:tabs>
          <w:tab w:val="right" w:leader="dot" w:pos="7477"/>
        </w:tabs>
        <w:spacing w:line="190" w:lineRule="exact"/>
        <w:ind w:left="80"/>
        <w:jc w:val="both"/>
      </w:pPr>
      <w:r>
        <w:t>BIBLIOGRAFIE</w:t>
      </w:r>
      <w:r>
        <w:tab/>
        <w:t xml:space="preserve"> 148</w:t>
      </w:r>
    </w:p>
    <w:p w:rsidR="00DC56E8" w:rsidRDefault="00DC56E8" w:rsidP="00DC56E8">
      <w:pPr>
        <w:pStyle w:val="300"/>
        <w:shd w:val="clear" w:color="auto" w:fill="auto"/>
        <w:tabs>
          <w:tab w:val="right" w:leader="dot" w:pos="7477"/>
        </w:tabs>
        <w:spacing w:line="190" w:lineRule="exact"/>
        <w:ind w:left="80"/>
        <w:jc w:val="both"/>
      </w:pPr>
    </w:p>
    <w:p w:rsidR="00DC56E8" w:rsidRDefault="00DC56E8" w:rsidP="00DC56E8">
      <w:pPr>
        <w:pStyle w:val="300"/>
        <w:shd w:val="clear" w:color="auto" w:fill="auto"/>
        <w:tabs>
          <w:tab w:val="right" w:leader="dot" w:pos="7477"/>
        </w:tabs>
        <w:spacing w:line="190" w:lineRule="exact"/>
        <w:ind w:left="80"/>
        <w:jc w:val="both"/>
      </w:pPr>
    </w:p>
    <w:p w:rsidR="00DC56E8" w:rsidRDefault="00DC56E8" w:rsidP="00DC56E8">
      <w:pPr>
        <w:pStyle w:val="300"/>
        <w:shd w:val="clear" w:color="auto" w:fill="auto"/>
        <w:tabs>
          <w:tab w:val="right" w:leader="dot" w:pos="7477"/>
        </w:tabs>
        <w:spacing w:line="190" w:lineRule="exact"/>
        <w:ind w:left="80"/>
        <w:jc w:val="both"/>
      </w:pPr>
    </w:p>
    <w:p w:rsidR="00DC56E8" w:rsidRDefault="00DC56E8" w:rsidP="00DC56E8">
      <w:pPr>
        <w:pStyle w:val="300"/>
        <w:shd w:val="clear" w:color="auto" w:fill="auto"/>
        <w:tabs>
          <w:tab w:val="right" w:leader="dot" w:pos="7477"/>
        </w:tabs>
        <w:spacing w:line="190" w:lineRule="exact"/>
        <w:ind w:left="80"/>
        <w:jc w:val="both"/>
      </w:pPr>
    </w:p>
    <w:p w:rsidR="00DC56E8" w:rsidRDefault="00DC56E8" w:rsidP="00DC56E8">
      <w:pPr>
        <w:pStyle w:val="300"/>
        <w:shd w:val="clear" w:color="auto" w:fill="auto"/>
        <w:tabs>
          <w:tab w:val="right" w:leader="dot" w:pos="7477"/>
        </w:tabs>
        <w:spacing w:line="190" w:lineRule="exact"/>
        <w:ind w:left="80"/>
        <w:jc w:val="both"/>
      </w:pPr>
      <w:bookmarkStart w:id="1" w:name="_GoBack"/>
      <w:bookmarkEnd w:id="1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6506"/>
      </w:tblGrid>
      <w:tr w:rsidR="000E304A" w:rsidRPr="004D2E9E" w:rsidTr="006F2B22">
        <w:tc>
          <w:tcPr>
            <w:tcW w:w="6506" w:type="dxa"/>
          </w:tcPr>
          <w:p w:rsidR="000E304A" w:rsidRPr="004D2E9E" w:rsidRDefault="000E304A" w:rsidP="006F2B22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Titlu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Pie</w:t>
            </w:r>
            <w:proofErr w:type="gramEnd"/>
            <w:r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țe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de capital</w:t>
            </w:r>
          </w:p>
        </w:tc>
      </w:tr>
      <w:tr w:rsidR="000E304A" w:rsidRPr="004D2E9E" w:rsidTr="006F2B22">
        <w:tc>
          <w:tcPr>
            <w:tcW w:w="6506" w:type="dxa"/>
          </w:tcPr>
          <w:p w:rsidR="000E304A" w:rsidRPr="004D2E9E" w:rsidRDefault="000E304A" w:rsidP="006F2B22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Autor: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Oana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Mionel</w:t>
            </w:r>
            <w:proofErr w:type="spellEnd"/>
          </w:p>
        </w:tc>
      </w:tr>
      <w:tr w:rsidR="000E304A" w:rsidRPr="00F268CF" w:rsidTr="006F2B22">
        <w:tc>
          <w:tcPr>
            <w:tcW w:w="6506" w:type="dxa"/>
          </w:tcPr>
          <w:p w:rsidR="000E304A" w:rsidRPr="00F268CF" w:rsidRDefault="000E304A" w:rsidP="006F2B22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proofErr w:type="gram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Locul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editura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,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anul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 xml:space="preserve"> </w:t>
            </w: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ediţiei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Bucureșți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: </w:t>
            </w:r>
            <w:proofErr w:type="spellStart"/>
            <w:r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Editura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Universitară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, 2018</w:t>
            </w:r>
            <w:proofErr w:type="gramEnd"/>
          </w:p>
        </w:tc>
      </w:tr>
      <w:tr w:rsidR="000E304A" w:rsidRPr="00F268CF" w:rsidTr="006F2B22">
        <w:tc>
          <w:tcPr>
            <w:tcW w:w="6506" w:type="dxa"/>
          </w:tcPr>
          <w:p w:rsidR="000E304A" w:rsidRPr="00F268CF" w:rsidRDefault="000E304A" w:rsidP="006F2B22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proofErr w:type="spellStart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Cota</w:t>
            </w:r>
            <w:proofErr w:type="spellEnd"/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336, M 75</w:t>
            </w:r>
          </w:p>
        </w:tc>
      </w:tr>
      <w:tr w:rsidR="000E304A" w:rsidRPr="00F268CF" w:rsidTr="006F2B22">
        <w:tc>
          <w:tcPr>
            <w:tcW w:w="6506" w:type="dxa"/>
          </w:tcPr>
          <w:p w:rsidR="000E304A" w:rsidRPr="00F268CF" w:rsidRDefault="000E304A" w:rsidP="006F2B22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Localizare: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Sala de lectura N 1 (1 ex.)</w:t>
            </w:r>
          </w:p>
        </w:tc>
      </w:tr>
    </w:tbl>
    <w:p w:rsidR="00DC56E8" w:rsidRPr="000E304A" w:rsidRDefault="00DC56E8" w:rsidP="00DC56E8">
      <w:pPr>
        <w:pStyle w:val="300"/>
        <w:shd w:val="clear" w:color="auto" w:fill="auto"/>
        <w:tabs>
          <w:tab w:val="right" w:leader="dot" w:pos="7477"/>
        </w:tabs>
        <w:spacing w:line="190" w:lineRule="exact"/>
        <w:ind w:left="80"/>
        <w:jc w:val="both"/>
        <w:rPr>
          <w:lang w:val="es-ES"/>
        </w:rPr>
      </w:pPr>
    </w:p>
    <w:sectPr w:rsidR="00DC56E8" w:rsidRPr="000E304A" w:rsidSect="00DC56E8">
      <w:pgSz w:w="11907" w:h="16840" w:code="9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3A2" w:rsidRDefault="003673A2">
      <w:r>
        <w:separator/>
      </w:r>
    </w:p>
  </w:endnote>
  <w:endnote w:type="continuationSeparator" w:id="0">
    <w:p w:rsidR="003673A2" w:rsidRDefault="0036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3A2" w:rsidRDefault="003673A2"/>
  </w:footnote>
  <w:footnote w:type="continuationSeparator" w:id="0">
    <w:p w:rsidR="003673A2" w:rsidRDefault="003673A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2605F"/>
    <w:multiLevelType w:val="multilevel"/>
    <w:tmpl w:val="E24AD822"/>
    <w:lvl w:ilvl="0">
      <w:start w:val="4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9"/>
        <w:szCs w:val="19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8DE7A56"/>
    <w:multiLevelType w:val="multilevel"/>
    <w:tmpl w:val="FF9A42F2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9"/>
        <w:szCs w:val="19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72DA5"/>
    <w:rsid w:val="000E304A"/>
    <w:rsid w:val="0030004A"/>
    <w:rsid w:val="003673A2"/>
    <w:rsid w:val="00744450"/>
    <w:rsid w:val="00831CDD"/>
    <w:rsid w:val="00A05CB9"/>
    <w:rsid w:val="00B72DA5"/>
    <w:rsid w:val="00DC56E8"/>
    <w:rsid w:val="00FC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87">
    <w:name w:val="Основной текст (87)_"/>
    <w:basedOn w:val="a0"/>
    <w:link w:val="870"/>
    <w:rPr>
      <w:rFonts w:ascii="Calibri" w:eastAsia="Calibri" w:hAnsi="Calibri" w:cs="Calibri"/>
      <w:b/>
      <w:bCs/>
      <w:i w:val="0"/>
      <w:iCs w:val="0"/>
      <w:smallCaps w:val="0"/>
      <w:strike w:val="0"/>
      <w:spacing w:val="-1"/>
      <w:sz w:val="33"/>
      <w:szCs w:val="33"/>
      <w:u w:val="none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95pt0pt">
    <w:name w:val="Оглавление (19) + Book Antiqua;9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19BookAntiqua4pt0pt">
    <w:name w:val="Оглавление (19) + Book Antiqua;4 pt;Курсив;Интервал 0 pt"/>
    <w:basedOn w:val="1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19BookAntiqua95pt0pt0">
    <w:name w:val="Оглавление (19) + Book Antiqua;9;5 pt;Курсив;Интервал 0 pt"/>
    <w:basedOn w:val="1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30">
    <w:name w:val="Колонтитул (30)_"/>
    <w:basedOn w:val="a0"/>
    <w:link w:val="30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paragraph" w:customStyle="1" w:styleId="870">
    <w:name w:val="Основной текст (87)"/>
    <w:basedOn w:val="a"/>
    <w:link w:val="87"/>
    <w:pPr>
      <w:shd w:val="clear" w:color="auto" w:fill="FFFFFF"/>
      <w:spacing w:line="293" w:lineRule="exact"/>
      <w:jc w:val="right"/>
    </w:pPr>
    <w:rPr>
      <w:rFonts w:ascii="Calibri" w:eastAsia="Calibri" w:hAnsi="Calibri" w:cs="Calibri"/>
      <w:b/>
      <w:bCs/>
      <w:spacing w:val="-1"/>
      <w:sz w:val="33"/>
      <w:szCs w:val="33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300">
    <w:name w:val="Колонтитул (30)"/>
    <w:basedOn w:val="a"/>
    <w:link w:val="30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pacing w:val="8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DC56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6E8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744450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87">
    <w:name w:val="Основной текст (87)_"/>
    <w:basedOn w:val="a0"/>
    <w:link w:val="870"/>
    <w:rPr>
      <w:rFonts w:ascii="Calibri" w:eastAsia="Calibri" w:hAnsi="Calibri" w:cs="Calibri"/>
      <w:b/>
      <w:bCs/>
      <w:i w:val="0"/>
      <w:iCs w:val="0"/>
      <w:smallCaps w:val="0"/>
      <w:strike w:val="0"/>
      <w:spacing w:val="-1"/>
      <w:sz w:val="33"/>
      <w:szCs w:val="33"/>
      <w:u w:val="none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95pt0pt">
    <w:name w:val="Оглавление (19) + Book Antiqua;9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19BookAntiqua4pt0pt">
    <w:name w:val="Оглавление (19) + Book Antiqua;4 pt;Курсив;Интервал 0 pt"/>
    <w:basedOn w:val="1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 w:eastAsia="ro-RO" w:bidi="ro-RO"/>
    </w:rPr>
  </w:style>
  <w:style w:type="character" w:customStyle="1" w:styleId="19BookAntiqua95pt0pt0">
    <w:name w:val="Оглавление (19) + Book Antiqua;9;5 pt;Курсив;Интервал 0 pt"/>
    <w:basedOn w:val="1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30">
    <w:name w:val="Колонтитул (30)_"/>
    <w:basedOn w:val="a0"/>
    <w:link w:val="30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paragraph" w:customStyle="1" w:styleId="870">
    <w:name w:val="Основной текст (87)"/>
    <w:basedOn w:val="a"/>
    <w:link w:val="87"/>
    <w:pPr>
      <w:shd w:val="clear" w:color="auto" w:fill="FFFFFF"/>
      <w:spacing w:line="293" w:lineRule="exact"/>
      <w:jc w:val="right"/>
    </w:pPr>
    <w:rPr>
      <w:rFonts w:ascii="Calibri" w:eastAsia="Calibri" w:hAnsi="Calibri" w:cs="Calibri"/>
      <w:b/>
      <w:bCs/>
      <w:spacing w:val="-1"/>
      <w:sz w:val="33"/>
      <w:szCs w:val="33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300">
    <w:name w:val="Колонтитул (30)"/>
    <w:basedOn w:val="a"/>
    <w:link w:val="30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pacing w:val="8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DC56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6E8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744450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430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2022-04-12T06:08:00Z</dcterms:created>
  <dcterms:modified xsi:type="dcterms:W3CDTF">2022-04-14T08:09:00Z</dcterms:modified>
</cp:coreProperties>
</file>