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6" w:rsidRPr="007A7296" w:rsidRDefault="007A7296" w:rsidP="007A7296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608195" cy="649097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96" w:rsidRDefault="007A7296">
      <w:pPr>
        <w:rPr>
          <w:rFonts w:ascii="Calibri" w:eastAsia="Calibri" w:hAnsi="Calibri" w:cs="Calibri"/>
          <w:spacing w:val="-9"/>
          <w:sz w:val="26"/>
          <w:szCs w:val="26"/>
        </w:rPr>
      </w:pPr>
      <w:r>
        <w:br w:type="page"/>
      </w:r>
    </w:p>
    <w:p w:rsidR="009175B0" w:rsidRDefault="009446DF" w:rsidP="007A7296">
      <w:pPr>
        <w:pStyle w:val="1420"/>
        <w:shd w:val="clear" w:color="auto" w:fill="auto"/>
        <w:spacing w:after="0" w:line="260" w:lineRule="exact"/>
      </w:pPr>
      <w:r>
        <w:lastRenderedPageBreak/>
        <w:t>Cuprins</w:t>
      </w:r>
      <w:bookmarkEnd w:id="0"/>
    </w:p>
    <w:p w:rsidR="009175B0" w:rsidRDefault="009446DF" w:rsidP="007A7296">
      <w:pPr>
        <w:pStyle w:val="190"/>
        <w:shd w:val="clear" w:color="auto" w:fill="auto"/>
        <w:tabs>
          <w:tab w:val="left" w:leader="dot" w:pos="6887"/>
          <w:tab w:val="right" w:pos="7342"/>
        </w:tabs>
        <w:spacing w:line="504" w:lineRule="exact"/>
        <w:ind w:left="20"/>
      </w:pPr>
      <w:r>
        <w:rPr>
          <w:rStyle w:val="19BookAntiqua85pt0pt"/>
        </w:rPr>
        <w:t>Despre autori</w:t>
      </w:r>
      <w:r>
        <w:rPr>
          <w:rStyle w:val="19BookAntiqua85pt0pt"/>
        </w:rPr>
        <w:tab/>
      </w:r>
      <w:r>
        <w:rPr>
          <w:rStyle w:val="19BookAntiqua85pt0pt"/>
        </w:rPr>
        <w:tab/>
        <w:t>7</w:t>
      </w:r>
    </w:p>
    <w:p w:rsidR="009175B0" w:rsidRDefault="009446DF" w:rsidP="007A7296">
      <w:pPr>
        <w:pStyle w:val="190"/>
        <w:shd w:val="clear" w:color="auto" w:fill="auto"/>
        <w:tabs>
          <w:tab w:val="left" w:leader="dot" w:pos="6887"/>
          <w:tab w:val="center" w:pos="7258"/>
        </w:tabs>
        <w:spacing w:line="504" w:lineRule="exact"/>
        <w:ind w:left="20"/>
      </w:pPr>
      <w:r>
        <w:rPr>
          <w:rStyle w:val="19BookAntiqua85pt0pt"/>
        </w:rPr>
        <w:t>Cuvânt înainte</w:t>
      </w:r>
      <w:r>
        <w:rPr>
          <w:rStyle w:val="19BookAntiqua85pt0pt"/>
        </w:rPr>
        <w:tab/>
      </w:r>
      <w:r>
        <w:rPr>
          <w:rStyle w:val="19BookAntiqua85pt0pt"/>
        </w:rPr>
        <w:tab/>
        <w:t>19</w:t>
      </w:r>
    </w:p>
    <w:p w:rsidR="009175B0" w:rsidRDefault="009446DF" w:rsidP="007A7296">
      <w:pPr>
        <w:pStyle w:val="190"/>
        <w:shd w:val="clear" w:color="auto" w:fill="auto"/>
        <w:tabs>
          <w:tab w:val="center" w:pos="2838"/>
          <w:tab w:val="center" w:pos="3375"/>
          <w:tab w:val="left" w:leader="dot" w:pos="6887"/>
          <w:tab w:val="center" w:pos="7258"/>
        </w:tabs>
        <w:spacing w:line="504" w:lineRule="exact"/>
        <w:ind w:left="20"/>
      </w:pPr>
      <w:r>
        <w:rPr>
          <w:rStyle w:val="19BookAntiqua85pt0pt"/>
        </w:rPr>
        <w:t>Achiziţiile publice - de la</w:t>
      </w:r>
      <w:r>
        <w:rPr>
          <w:rStyle w:val="19BookAntiqua85pt0pt"/>
        </w:rPr>
        <w:tab/>
        <w:t>claritatea</w:t>
      </w:r>
      <w:r>
        <w:rPr>
          <w:rStyle w:val="19BookAntiqua85pt0pt"/>
        </w:rPr>
        <w:tab/>
        <w:t>principiilor la „negura” reglementării</w:t>
      </w:r>
      <w:r>
        <w:rPr>
          <w:rStyle w:val="19BookAntiqua85pt0pt"/>
        </w:rPr>
        <w:tab/>
      </w:r>
      <w:r>
        <w:rPr>
          <w:rStyle w:val="19BookAntiqua85pt0pt"/>
        </w:rPr>
        <w:tab/>
        <w:t>21</w:t>
      </w:r>
    </w:p>
    <w:p w:rsidR="009175B0" w:rsidRDefault="009446DF" w:rsidP="007A7296">
      <w:pPr>
        <w:pStyle w:val="190"/>
        <w:shd w:val="clear" w:color="auto" w:fill="auto"/>
        <w:spacing w:after="222" w:line="190" w:lineRule="exact"/>
        <w:ind w:left="20"/>
      </w:pPr>
      <w:r>
        <w:rPr>
          <w:rStyle w:val="19TimesNewRoman95pt0pt"/>
          <w:rFonts w:eastAsia="Palatino Linotype"/>
        </w:rPr>
        <w:t>Gabriela Aicea (Stănilă)</w:t>
      </w:r>
    </w:p>
    <w:p w:rsidR="009175B0" w:rsidRDefault="009446DF" w:rsidP="007A7296">
      <w:pPr>
        <w:pStyle w:val="190"/>
        <w:shd w:val="clear" w:color="auto" w:fill="auto"/>
        <w:spacing w:line="254" w:lineRule="exact"/>
        <w:ind w:left="20"/>
      </w:pPr>
      <w:r>
        <w:rPr>
          <w:rStyle w:val="19BookAntiqua85pt0pt"/>
        </w:rPr>
        <w:t>Capacitatea profesională a personalului implicat în procesul de achiziţii</w:t>
      </w:r>
    </w:p>
    <w:p w:rsidR="009175B0" w:rsidRDefault="009446DF" w:rsidP="007A7296">
      <w:pPr>
        <w:pStyle w:val="190"/>
        <w:shd w:val="clear" w:color="auto" w:fill="auto"/>
        <w:tabs>
          <w:tab w:val="right" w:pos="4378"/>
          <w:tab w:val="left" w:leader="dot" w:pos="6887"/>
          <w:tab w:val="center" w:pos="7258"/>
        </w:tabs>
        <w:spacing w:line="254" w:lineRule="exact"/>
        <w:ind w:left="20"/>
      </w:pPr>
      <w:r>
        <w:rPr>
          <w:rStyle w:val="19BookAntiqua85pt0pt"/>
        </w:rPr>
        <w:t>publice - factor determinant al eficienţei</w:t>
      </w:r>
      <w:r w:rsidR="007A7296">
        <w:rPr>
          <w:rStyle w:val="19BookAntiqua85pt0pt"/>
        </w:rPr>
        <w:t xml:space="preserve"> </w:t>
      </w:r>
      <w:r>
        <w:rPr>
          <w:rStyle w:val="19BookAntiqua85pt0pt"/>
        </w:rPr>
        <w:t>acestuia</w:t>
      </w:r>
      <w:r>
        <w:rPr>
          <w:rStyle w:val="19BookAntiqua85pt0pt"/>
        </w:rPr>
        <w:tab/>
      </w:r>
      <w:r>
        <w:rPr>
          <w:rStyle w:val="19BookAntiqua85pt0pt"/>
        </w:rPr>
        <w:tab/>
        <w:t>27</w:t>
      </w:r>
    </w:p>
    <w:p w:rsidR="009175B0" w:rsidRDefault="009446DF" w:rsidP="007A7296">
      <w:pPr>
        <w:pStyle w:val="1190"/>
        <w:shd w:val="clear" w:color="auto" w:fill="auto"/>
        <w:spacing w:after="172"/>
        <w:ind w:left="20"/>
      </w:pPr>
      <w:r>
        <w:t>Jenica Ioan</w:t>
      </w:r>
    </w:p>
    <w:p w:rsidR="009175B0" w:rsidRDefault="009446DF" w:rsidP="007A7296">
      <w:pPr>
        <w:pStyle w:val="40"/>
        <w:shd w:val="clear" w:color="auto" w:fill="auto"/>
        <w:spacing w:after="184" w:line="264" w:lineRule="exact"/>
        <w:ind w:left="20" w:right="20"/>
        <w:jc w:val="both"/>
      </w:pPr>
      <w:r>
        <w:rPr>
          <w:rStyle w:val="4BookAntiqua0pt"/>
        </w:rPr>
        <w:t xml:space="preserve">Cerinţe de calificare sensibile. îndeplinirea lor de către participanţii la ofertare 36 </w:t>
      </w:r>
      <w:r>
        <w:rPr>
          <w:rStyle w:val="495pt0pt"/>
        </w:rPr>
        <w:t>Ecaterina-Milica Dobrotă</w:t>
      </w:r>
    </w:p>
    <w:p w:rsidR="009175B0" w:rsidRDefault="009446DF" w:rsidP="007A7296">
      <w:pPr>
        <w:pStyle w:val="40"/>
        <w:shd w:val="clear" w:color="auto" w:fill="auto"/>
        <w:spacing w:after="251" w:line="259" w:lineRule="exact"/>
        <w:ind w:left="20" w:right="20"/>
        <w:jc w:val="both"/>
      </w:pPr>
      <w:r>
        <w:rPr>
          <w:rStyle w:val="4BookAntiqua0pt"/>
        </w:rPr>
        <w:t xml:space="preserve">Ofertarea şi executarea contractului de către grupurile de operatori economici 57 </w:t>
      </w:r>
      <w:r>
        <w:rPr>
          <w:rStyle w:val="495pt0pt"/>
        </w:rPr>
        <w:t>Ioana Aristiţa Ciobotă, Dumitru-ViorelPărvu</w:t>
      </w:r>
    </w:p>
    <w:p w:rsidR="009175B0" w:rsidRDefault="009446DF" w:rsidP="007A7296">
      <w:pPr>
        <w:pStyle w:val="190"/>
        <w:shd w:val="clear" w:color="auto" w:fill="auto"/>
        <w:tabs>
          <w:tab w:val="left" w:leader="dot" w:pos="6887"/>
          <w:tab w:val="right" w:pos="7342"/>
        </w:tabs>
        <w:spacing w:after="23" w:line="170" w:lineRule="exact"/>
        <w:ind w:left="20"/>
      </w:pPr>
      <w:r>
        <w:rPr>
          <w:rStyle w:val="19BookAntiqua85pt0pt"/>
        </w:rPr>
        <w:t>încrederea în achiziţiile publice</w:t>
      </w:r>
      <w:r>
        <w:rPr>
          <w:rStyle w:val="19BookAntiqua85pt0pt"/>
        </w:rPr>
        <w:tab/>
      </w:r>
      <w:r>
        <w:rPr>
          <w:rStyle w:val="19BookAntiqua85pt0pt"/>
        </w:rPr>
        <w:tab/>
        <w:t>80</w:t>
      </w:r>
    </w:p>
    <w:p w:rsidR="009175B0" w:rsidRDefault="009446DF" w:rsidP="007A7296">
      <w:pPr>
        <w:pStyle w:val="190"/>
        <w:shd w:val="clear" w:color="auto" w:fill="auto"/>
        <w:spacing w:after="217" w:line="190" w:lineRule="exact"/>
        <w:ind w:left="20"/>
      </w:pPr>
      <w:r>
        <w:rPr>
          <w:rStyle w:val="19TimesNewRoman95pt0pt"/>
          <w:rFonts w:eastAsia="Palatino Linotype"/>
        </w:rPr>
        <w:t>Florin Irimia</w:t>
      </w:r>
    </w:p>
    <w:p w:rsidR="009175B0" w:rsidRDefault="009446DF" w:rsidP="007A7296">
      <w:pPr>
        <w:pStyle w:val="190"/>
        <w:shd w:val="clear" w:color="auto" w:fill="auto"/>
        <w:tabs>
          <w:tab w:val="right" w:pos="7342"/>
        </w:tabs>
        <w:spacing w:line="254" w:lineRule="exact"/>
        <w:ind w:left="20" w:right="20"/>
        <w:jc w:val="left"/>
      </w:pPr>
      <w:r>
        <w:rPr>
          <w:rStyle w:val="19BookAntiqua85pt0pt"/>
        </w:rPr>
        <w:t>Insolvenţa - motiv de excludere a operatorilor economici participanţi în procedurile de atribuire a contractelor de achiziţie publică/acordurilor-cadru...</w:t>
      </w:r>
      <w:r>
        <w:rPr>
          <w:rStyle w:val="19BookAntiqua85pt0pt"/>
        </w:rPr>
        <w:tab/>
        <w:t>85</w:t>
      </w:r>
    </w:p>
    <w:p w:rsidR="009175B0" w:rsidRDefault="009446DF" w:rsidP="007A7296">
      <w:pPr>
        <w:pStyle w:val="190"/>
        <w:shd w:val="clear" w:color="auto" w:fill="auto"/>
        <w:spacing w:after="248" w:line="254" w:lineRule="exact"/>
        <w:ind w:left="20"/>
      </w:pPr>
      <w:r>
        <w:rPr>
          <w:rStyle w:val="19TimesNewRoman95pt0pt"/>
          <w:rFonts w:eastAsia="Palatino Linotype"/>
        </w:rPr>
        <w:t>Romeo-Costinel Torică</w:t>
      </w:r>
    </w:p>
    <w:p w:rsidR="009175B0" w:rsidRDefault="009446DF" w:rsidP="007A7296">
      <w:pPr>
        <w:pStyle w:val="190"/>
        <w:shd w:val="clear" w:color="auto" w:fill="auto"/>
        <w:tabs>
          <w:tab w:val="left" w:leader="dot" w:pos="6887"/>
        </w:tabs>
        <w:spacing w:after="23" w:line="170" w:lineRule="exact"/>
        <w:ind w:left="20"/>
      </w:pPr>
      <w:r>
        <w:rPr>
          <w:rStyle w:val="19BookAntiqua85pt0pt"/>
        </w:rPr>
        <w:t>Clarificarea conţinutului ofertelor, între obligaţie şi „demers facultativ”</w:t>
      </w:r>
      <w:r>
        <w:rPr>
          <w:rStyle w:val="19BookAntiqua85pt0pt"/>
        </w:rPr>
        <w:tab/>
        <w:t xml:space="preserve"> 107</w:t>
      </w:r>
    </w:p>
    <w:p w:rsidR="009175B0" w:rsidRDefault="009446DF" w:rsidP="007A7296">
      <w:pPr>
        <w:pStyle w:val="190"/>
        <w:shd w:val="clear" w:color="auto" w:fill="auto"/>
        <w:spacing w:after="213" w:line="190" w:lineRule="exact"/>
        <w:ind w:left="20"/>
      </w:pPr>
      <w:r>
        <w:rPr>
          <w:rStyle w:val="19TimesNewRoman95pt0pt"/>
          <w:rFonts w:eastAsia="Palatino Linotype"/>
        </w:rPr>
        <w:t>Petre Tănase</w:t>
      </w:r>
    </w:p>
    <w:p w:rsidR="009175B0" w:rsidRDefault="009446DF" w:rsidP="007A7296">
      <w:pPr>
        <w:pStyle w:val="190"/>
        <w:shd w:val="clear" w:color="auto" w:fill="auto"/>
        <w:tabs>
          <w:tab w:val="right" w:leader="dot" w:pos="7342"/>
        </w:tabs>
        <w:spacing w:line="259" w:lineRule="exact"/>
        <w:ind w:left="20" w:right="20"/>
        <w:jc w:val="left"/>
      </w:pPr>
      <w:r>
        <w:rPr>
          <w:rStyle w:val="19BookAntiqua85pt0pt"/>
        </w:rPr>
        <w:t>Valenţele conceptului de „entităţi pe ale căror capacităţi tehnice şi/sau profesionale se bazează operatorul economic”, în contractele de lucrări</w:t>
      </w:r>
      <w:r>
        <w:rPr>
          <w:rStyle w:val="19BookAntiqua85pt0pt"/>
        </w:rPr>
        <w:tab/>
        <w:t xml:space="preserve"> 115</w:t>
      </w:r>
    </w:p>
    <w:p w:rsidR="009175B0" w:rsidRDefault="009446DF" w:rsidP="007A7296">
      <w:pPr>
        <w:pStyle w:val="190"/>
        <w:shd w:val="clear" w:color="auto" w:fill="auto"/>
        <w:spacing w:after="251" w:line="259" w:lineRule="exact"/>
        <w:ind w:left="20"/>
      </w:pPr>
      <w:r>
        <w:rPr>
          <w:rStyle w:val="19TimesNewRoman95pt0pt"/>
          <w:rFonts w:eastAsia="Palatino Linotype"/>
        </w:rPr>
        <w:t>Nedelea Varnischi</w:t>
      </w:r>
    </w:p>
    <w:p w:rsidR="009175B0" w:rsidRDefault="009446DF" w:rsidP="007A7296">
      <w:pPr>
        <w:pStyle w:val="190"/>
        <w:shd w:val="clear" w:color="auto" w:fill="auto"/>
        <w:spacing w:after="28" w:line="170" w:lineRule="exact"/>
      </w:pPr>
      <w:r>
        <w:rPr>
          <w:rStyle w:val="19BookAntiqua85pt0pt"/>
        </w:rPr>
        <w:t>Aplicarea negocierii tară publicare prealabilă, din motive de extremă urgenţă</w:t>
      </w:r>
      <w:r w:rsidR="007A7296">
        <w:rPr>
          <w:rStyle w:val="19BookAntiqua85pt0pt"/>
        </w:rPr>
        <w:t>…………</w:t>
      </w:r>
      <w:r>
        <w:rPr>
          <w:rStyle w:val="19BookAntiqua85pt0pt"/>
        </w:rPr>
        <w:t>. 124</w:t>
      </w:r>
    </w:p>
    <w:p w:rsidR="009175B0" w:rsidRDefault="009446DF" w:rsidP="007A7296">
      <w:pPr>
        <w:pStyle w:val="190"/>
        <w:shd w:val="clear" w:color="auto" w:fill="auto"/>
        <w:spacing w:after="284" w:line="190" w:lineRule="exact"/>
        <w:ind w:left="20"/>
      </w:pPr>
      <w:r>
        <w:rPr>
          <w:rStyle w:val="19TimesNewRoman95pt0pt"/>
          <w:rFonts w:eastAsia="Palatino Linotype"/>
        </w:rPr>
        <w:t>Ecaterina-Milica Dobrotă</w:t>
      </w:r>
    </w:p>
    <w:p w:rsidR="009175B0" w:rsidRDefault="009446DF" w:rsidP="007A7296">
      <w:pPr>
        <w:pStyle w:val="190"/>
        <w:shd w:val="clear" w:color="auto" w:fill="auto"/>
        <w:tabs>
          <w:tab w:val="left" w:leader="dot" w:pos="6887"/>
        </w:tabs>
        <w:spacing w:after="23" w:line="170" w:lineRule="exact"/>
        <w:ind w:left="20"/>
      </w:pPr>
      <w:r>
        <w:rPr>
          <w:rStyle w:val="19BookAntiqua85pt0pt"/>
        </w:rPr>
        <w:t>Achiziţiile publice şi programul proiectului</w:t>
      </w:r>
      <w:r>
        <w:rPr>
          <w:rStyle w:val="19BookAntiqua85pt0pt"/>
        </w:rPr>
        <w:tab/>
        <w:t xml:space="preserve"> 135</w:t>
      </w:r>
    </w:p>
    <w:p w:rsidR="009175B0" w:rsidRDefault="009446DF" w:rsidP="007A7296">
      <w:pPr>
        <w:pStyle w:val="1190"/>
        <w:shd w:val="clear" w:color="auto" w:fill="auto"/>
        <w:spacing w:after="0" w:line="190" w:lineRule="exact"/>
        <w:ind w:left="20"/>
      </w:pPr>
      <w:r>
        <w:t>Marius Găitan</w:t>
      </w:r>
    </w:p>
    <w:p w:rsidR="009175B0" w:rsidRDefault="009175B0">
      <w:pPr>
        <w:rPr>
          <w:sz w:val="2"/>
          <w:szCs w:val="2"/>
        </w:rPr>
      </w:pPr>
    </w:p>
    <w:p w:rsidR="009175B0" w:rsidRDefault="009446DF" w:rsidP="007A7296">
      <w:pPr>
        <w:pStyle w:val="40"/>
        <w:shd w:val="clear" w:color="auto" w:fill="auto"/>
        <w:spacing w:after="28" w:line="170" w:lineRule="exact"/>
        <w:ind w:left="20"/>
        <w:jc w:val="both"/>
      </w:pPr>
      <w:r>
        <w:rPr>
          <w:rStyle w:val="4BookAntiqua0pt0"/>
        </w:rPr>
        <w:t>Modificarea contractului de achiziţie publică/ sectorială sau acordului-cadru... 150</w:t>
      </w:r>
    </w:p>
    <w:p w:rsidR="009175B0" w:rsidRDefault="009446DF" w:rsidP="007A7296">
      <w:pPr>
        <w:pStyle w:val="1190"/>
        <w:shd w:val="clear" w:color="auto" w:fill="auto"/>
        <w:spacing w:after="284" w:line="190" w:lineRule="exact"/>
        <w:ind w:left="20"/>
      </w:pPr>
      <w:r>
        <w:rPr>
          <w:rStyle w:val="1190pt"/>
          <w:i/>
          <w:iCs/>
        </w:rPr>
        <w:t>Octavian Constantinescu</w:t>
      </w:r>
    </w:p>
    <w:p w:rsidR="009175B0" w:rsidRDefault="009446DF" w:rsidP="007A7296">
      <w:pPr>
        <w:pStyle w:val="a5"/>
        <w:shd w:val="clear" w:color="auto" w:fill="auto"/>
        <w:tabs>
          <w:tab w:val="left" w:leader="dot" w:pos="6870"/>
        </w:tabs>
        <w:spacing w:before="0" w:after="28" w:line="170" w:lineRule="exact"/>
        <w:ind w:left="20" w:firstLine="0"/>
      </w:pPr>
      <w:r>
        <w:rPr>
          <w:rStyle w:val="BookAntiqua0pt"/>
        </w:rPr>
        <w:t>Prelungirea duratei de execuţie la contractele de lucrări</w:t>
      </w:r>
      <w:r>
        <w:rPr>
          <w:rStyle w:val="BookAntiqua0pt"/>
        </w:rPr>
        <w:tab/>
        <w:t xml:space="preserve"> 160</w:t>
      </w:r>
    </w:p>
    <w:p w:rsidR="009175B0" w:rsidRDefault="009446DF" w:rsidP="007A7296">
      <w:pPr>
        <w:pStyle w:val="490"/>
        <w:shd w:val="clear" w:color="auto" w:fill="auto"/>
        <w:spacing w:after="220" w:line="190" w:lineRule="exact"/>
        <w:ind w:left="20"/>
      </w:pPr>
      <w:r>
        <w:rPr>
          <w:rStyle w:val="490pt"/>
          <w:i/>
          <w:iCs/>
        </w:rPr>
        <w:t>Ioan Adrian Danciu</w:t>
      </w:r>
    </w:p>
    <w:p w:rsidR="007A7296" w:rsidRDefault="007A7296">
      <w:pPr>
        <w:rPr>
          <w:rStyle w:val="BookAntiqua0pt"/>
        </w:rPr>
      </w:pPr>
      <w:r>
        <w:rPr>
          <w:rStyle w:val="BookAntiqua0pt"/>
        </w:rPr>
        <w:br w:type="page"/>
      </w:r>
    </w:p>
    <w:p w:rsidR="009175B0" w:rsidRDefault="009446DF" w:rsidP="007A7296">
      <w:pPr>
        <w:pStyle w:val="a5"/>
        <w:shd w:val="clear" w:color="auto" w:fill="auto"/>
        <w:spacing w:before="0" w:after="0" w:line="250" w:lineRule="exact"/>
        <w:ind w:left="20" w:firstLine="0"/>
      </w:pPr>
      <w:r>
        <w:rPr>
          <w:rStyle w:val="BookAntiqua0pt"/>
        </w:rPr>
        <w:lastRenderedPageBreak/>
        <w:t>Recepţia lucrărilor de construcţii în contractele de achiziţie publică -</w:t>
      </w:r>
    </w:p>
    <w:p w:rsidR="009175B0" w:rsidRDefault="009446DF" w:rsidP="007A7296">
      <w:pPr>
        <w:pStyle w:val="a5"/>
        <w:shd w:val="clear" w:color="auto" w:fill="auto"/>
        <w:tabs>
          <w:tab w:val="right" w:leader="dot" w:pos="7347"/>
        </w:tabs>
        <w:spacing w:before="0" w:after="0" w:line="250" w:lineRule="exact"/>
        <w:ind w:left="20" w:firstLine="0"/>
      </w:pPr>
      <w:r>
        <w:rPr>
          <w:rStyle w:val="BookAntiqua0pt"/>
        </w:rPr>
        <w:t>capodoperă a transcendenţei riscurilor dincolo de teoriile legislative</w:t>
      </w:r>
      <w:r>
        <w:rPr>
          <w:rStyle w:val="BookAntiqua0pt"/>
        </w:rPr>
        <w:tab/>
        <w:t xml:space="preserve"> 167</w:t>
      </w:r>
    </w:p>
    <w:p w:rsidR="009175B0" w:rsidRDefault="009446DF" w:rsidP="007A7296">
      <w:pPr>
        <w:pStyle w:val="490"/>
        <w:shd w:val="clear" w:color="auto" w:fill="auto"/>
        <w:spacing w:after="176" w:line="250" w:lineRule="exact"/>
        <w:ind w:left="20"/>
      </w:pPr>
      <w:r>
        <w:rPr>
          <w:rStyle w:val="490pt"/>
          <w:i/>
          <w:iCs/>
        </w:rPr>
        <w:t>Dorina Cânta</w:t>
      </w:r>
    </w:p>
    <w:p w:rsidR="009175B0" w:rsidRDefault="009446DF" w:rsidP="007A7296">
      <w:pPr>
        <w:pStyle w:val="a5"/>
        <w:shd w:val="clear" w:color="auto" w:fill="auto"/>
        <w:tabs>
          <w:tab w:val="right" w:leader="dot" w:pos="7347"/>
        </w:tabs>
        <w:spacing w:before="0" w:after="0" w:line="254" w:lineRule="exact"/>
        <w:ind w:left="20" w:right="20" w:firstLine="0"/>
        <w:jc w:val="left"/>
      </w:pPr>
      <w:r>
        <w:rPr>
          <w:rStyle w:val="BookAntiqua0pt"/>
        </w:rPr>
        <w:t xml:space="preserve">Părţile şi obligaţiile lor în procedura de soluţionare a contestaţiilor pe cale administrativ-jurisdicţională </w:t>
      </w:r>
      <w:r>
        <w:rPr>
          <w:rStyle w:val="BookAntiqua0pt"/>
        </w:rPr>
        <w:tab/>
        <w:t xml:space="preserve"> 189</w:t>
      </w:r>
    </w:p>
    <w:p w:rsidR="009175B0" w:rsidRDefault="009446DF" w:rsidP="007A7296">
      <w:pPr>
        <w:pStyle w:val="490"/>
        <w:shd w:val="clear" w:color="auto" w:fill="auto"/>
        <w:spacing w:after="248" w:line="254" w:lineRule="exact"/>
        <w:ind w:left="20"/>
      </w:pPr>
      <w:r>
        <w:rPr>
          <w:rStyle w:val="490pt"/>
          <w:i/>
          <w:iCs/>
        </w:rPr>
        <w:t>Mihaela-Alina Nicolau</w:t>
      </w:r>
    </w:p>
    <w:p w:rsidR="009175B0" w:rsidRDefault="009446DF" w:rsidP="007A7296">
      <w:pPr>
        <w:pStyle w:val="a5"/>
        <w:shd w:val="clear" w:color="auto" w:fill="auto"/>
        <w:tabs>
          <w:tab w:val="right" w:leader="dot" w:pos="7347"/>
        </w:tabs>
        <w:spacing w:before="0" w:after="0" w:line="170" w:lineRule="exact"/>
        <w:ind w:left="20" w:firstLine="0"/>
      </w:pPr>
      <w:r>
        <w:rPr>
          <w:rStyle w:val="BookAntiqua0pt"/>
        </w:rPr>
        <w:t>Tendinţele în achiziţii publice. De la riscuri la sustenabilitate</w:t>
      </w:r>
      <w:r>
        <w:rPr>
          <w:rStyle w:val="BookAntiqua0pt"/>
        </w:rPr>
        <w:tab/>
        <w:t xml:space="preserve"> 208</w:t>
      </w:r>
    </w:p>
    <w:p w:rsidR="009175B0" w:rsidRDefault="009446DF" w:rsidP="007A7296">
      <w:pPr>
        <w:pStyle w:val="490"/>
        <w:shd w:val="clear" w:color="auto" w:fill="auto"/>
        <w:spacing w:after="173" w:line="250" w:lineRule="exact"/>
        <w:ind w:left="20" w:right="460"/>
        <w:jc w:val="left"/>
      </w:pPr>
      <w:r>
        <w:rPr>
          <w:rStyle w:val="490pt"/>
          <w:i/>
          <w:iCs/>
        </w:rPr>
        <w:t>Andrei-Mirel Florea, Ecaterina-Milica Dobrotă, Riana Iren Radu, Silvius Stanciu</w:t>
      </w:r>
    </w:p>
    <w:p w:rsidR="009175B0" w:rsidRDefault="009446DF" w:rsidP="007A7296">
      <w:pPr>
        <w:pStyle w:val="a5"/>
        <w:shd w:val="clear" w:color="auto" w:fill="auto"/>
        <w:tabs>
          <w:tab w:val="right" w:leader="dot" w:pos="7347"/>
        </w:tabs>
        <w:spacing w:before="0" w:after="0" w:line="259" w:lineRule="exact"/>
        <w:ind w:left="20" w:right="20" w:firstLine="0"/>
        <w:jc w:val="left"/>
      </w:pPr>
      <w:r>
        <w:rPr>
          <w:rStyle w:val="BookAntiqua0pt"/>
        </w:rPr>
        <w:t>Aspecte generale privind competenţa Uniunii Europene în domeniul achiziţiilor publice</w:t>
      </w:r>
      <w:r>
        <w:rPr>
          <w:rStyle w:val="BookAntiqua0pt"/>
        </w:rPr>
        <w:tab/>
        <w:t xml:space="preserve"> 226</w:t>
      </w:r>
    </w:p>
    <w:p w:rsidR="009175B0" w:rsidRDefault="009446DF" w:rsidP="007A7296">
      <w:pPr>
        <w:pStyle w:val="1190"/>
        <w:shd w:val="clear" w:color="auto" w:fill="auto"/>
        <w:spacing w:after="0" w:line="190" w:lineRule="exact"/>
        <w:ind w:left="20"/>
        <w:rPr>
          <w:rStyle w:val="1190pt"/>
          <w:i/>
          <w:iCs/>
        </w:rPr>
      </w:pPr>
      <w:r>
        <w:rPr>
          <w:rStyle w:val="1190pt"/>
          <w:i/>
          <w:iCs/>
        </w:rPr>
        <w:t>Oana-Mihaela Salomia, Dragoş-Adrian Bantaş</w:t>
      </w:r>
    </w:p>
    <w:p w:rsidR="007009AE" w:rsidRDefault="007009AE" w:rsidP="007A7296">
      <w:pPr>
        <w:pStyle w:val="1190"/>
        <w:shd w:val="clear" w:color="auto" w:fill="auto"/>
        <w:spacing w:after="0" w:line="190" w:lineRule="exact"/>
        <w:ind w:left="20"/>
        <w:rPr>
          <w:rStyle w:val="1190pt"/>
          <w:i/>
          <w:iCs/>
        </w:rPr>
      </w:pPr>
    </w:p>
    <w:p w:rsidR="007009AE" w:rsidRDefault="007009AE" w:rsidP="007A7296">
      <w:pPr>
        <w:pStyle w:val="1190"/>
        <w:shd w:val="clear" w:color="auto" w:fill="auto"/>
        <w:spacing w:after="0" w:line="190" w:lineRule="exact"/>
        <w:ind w:left="20"/>
        <w:rPr>
          <w:rStyle w:val="1190pt"/>
          <w:i/>
          <w:iCs/>
        </w:rPr>
      </w:pPr>
    </w:p>
    <w:p w:rsidR="007009AE" w:rsidRDefault="007009AE" w:rsidP="007A7296">
      <w:pPr>
        <w:pStyle w:val="1190"/>
        <w:shd w:val="clear" w:color="auto" w:fill="auto"/>
        <w:spacing w:after="0" w:line="190" w:lineRule="exact"/>
        <w:ind w:left="20"/>
        <w:rPr>
          <w:rStyle w:val="1190pt"/>
          <w:i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7009AE" w:rsidRPr="00F268CF" w:rsidTr="005062CA">
        <w:tc>
          <w:tcPr>
            <w:tcW w:w="6506" w:type="dxa"/>
          </w:tcPr>
          <w:p w:rsidR="007009AE" w:rsidRPr="008950A1" w:rsidRDefault="007009AE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Achizi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  <w:t>ții publice: Idei noi, practici vechi</w:t>
            </w:r>
            <w:proofErr w:type="gramEnd"/>
          </w:p>
        </w:tc>
      </w:tr>
      <w:tr w:rsidR="007009AE" w:rsidRPr="00F268CF" w:rsidTr="005062CA">
        <w:tc>
          <w:tcPr>
            <w:tcW w:w="6506" w:type="dxa"/>
          </w:tcPr>
          <w:p w:rsidR="007009AE" w:rsidRPr="008950A1" w:rsidRDefault="007009AE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Ecaterina-Milica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Dobrotă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Dumitru-Viorel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Pârvu</w:t>
            </w:r>
            <w:proofErr w:type="spellEnd"/>
          </w:p>
        </w:tc>
      </w:tr>
      <w:tr w:rsidR="007009AE" w:rsidRPr="00B92F03" w:rsidTr="005062CA">
        <w:tc>
          <w:tcPr>
            <w:tcW w:w="6506" w:type="dxa"/>
          </w:tcPr>
          <w:p w:rsidR="007009AE" w:rsidRPr="00F268CF" w:rsidRDefault="007009AE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Universitară</w:t>
            </w:r>
            <w:proofErr w:type="spellEnd"/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2020</w:t>
            </w:r>
            <w:proofErr w:type="gramEnd"/>
          </w:p>
        </w:tc>
      </w:tr>
      <w:tr w:rsidR="007009AE" w:rsidRPr="004D2E9E" w:rsidTr="005062CA">
        <w:tc>
          <w:tcPr>
            <w:tcW w:w="6506" w:type="dxa"/>
          </w:tcPr>
          <w:p w:rsidR="007009AE" w:rsidRPr="00F268CF" w:rsidRDefault="007009AE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8950A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357, A-16</w:t>
            </w:r>
          </w:p>
        </w:tc>
      </w:tr>
      <w:tr w:rsidR="007009AE" w:rsidRPr="00B92F03" w:rsidTr="005062CA">
        <w:tc>
          <w:tcPr>
            <w:tcW w:w="6506" w:type="dxa"/>
          </w:tcPr>
          <w:p w:rsidR="007009AE" w:rsidRPr="00F268CF" w:rsidRDefault="007009AE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(2 ex.</w:t>
            </w:r>
            <w:bookmarkStart w:id="1" w:name="_GoBack"/>
            <w:bookmarkEnd w:id="1"/>
            <w:r w:rsidR="008950A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7009AE" w:rsidRDefault="007009AE" w:rsidP="007A7296">
      <w:pPr>
        <w:pStyle w:val="1190"/>
        <w:shd w:val="clear" w:color="auto" w:fill="auto"/>
        <w:spacing w:after="0" w:line="190" w:lineRule="exact"/>
        <w:ind w:left="20"/>
        <w:rPr>
          <w:rStyle w:val="1190pt"/>
          <w:i/>
          <w:iCs/>
        </w:rPr>
      </w:pPr>
    </w:p>
    <w:sectPr w:rsidR="007009AE" w:rsidSect="007A7296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DB" w:rsidRDefault="00EA06DB">
      <w:r>
        <w:separator/>
      </w:r>
    </w:p>
  </w:endnote>
  <w:endnote w:type="continuationSeparator" w:id="0">
    <w:p w:rsidR="00EA06DB" w:rsidRDefault="00EA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DB" w:rsidRDefault="00EA06DB"/>
  </w:footnote>
  <w:footnote w:type="continuationSeparator" w:id="0">
    <w:p w:rsidR="00EA06DB" w:rsidRDefault="00EA06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75B0"/>
    <w:rsid w:val="003714D8"/>
    <w:rsid w:val="007009AE"/>
    <w:rsid w:val="007A7296"/>
    <w:rsid w:val="008950A1"/>
    <w:rsid w:val="009175B0"/>
    <w:rsid w:val="009446DF"/>
    <w:rsid w:val="00DD2CE1"/>
    <w:rsid w:val="00EA06DB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2">
    <w:name w:val="Заголовок №14 (2)_"/>
    <w:basedOn w:val="a0"/>
    <w:link w:val="14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TimesNewRoman95pt0pt">
    <w:name w:val="Оглавление (19) + Times New Roman;9;5 pt;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19">
    <w:name w:val="Основной текст (119)_"/>
    <w:basedOn w:val="a0"/>
    <w:link w:val="1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95pt0pt">
    <w:name w:val="Основной текст (4) + 9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4BookAntiqua0pt0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190pt">
    <w:name w:val="Основной текст (119) + Интервал 0 pt"/>
    <w:basedOn w:val="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9">
    <w:name w:val="Оглавление (49)_"/>
    <w:basedOn w:val="a0"/>
    <w:link w:val="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90pt">
    <w:name w:val="Оглавление (49) + Интервал 0 pt"/>
    <w:basedOn w:val="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1420">
    <w:name w:val="Заголовок №14 (2)"/>
    <w:basedOn w:val="a"/>
    <w:link w:val="142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pacing w:val="-9"/>
      <w:sz w:val="26"/>
      <w:szCs w:val="26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490">
    <w:name w:val="Оглавление (49)"/>
    <w:basedOn w:val="a"/>
    <w:link w:val="4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A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29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009A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2">
    <w:name w:val="Заголовок №14 (2)_"/>
    <w:basedOn w:val="a0"/>
    <w:link w:val="14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TimesNewRoman95pt0pt">
    <w:name w:val="Оглавление (19) + Times New Roman;9;5 pt;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19">
    <w:name w:val="Основной текст (119)_"/>
    <w:basedOn w:val="a0"/>
    <w:link w:val="1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95pt0pt">
    <w:name w:val="Основной текст (4) + 9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4BookAntiqua0pt0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190pt">
    <w:name w:val="Основной текст (119) + Интервал 0 pt"/>
    <w:basedOn w:val="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49">
    <w:name w:val="Оглавление (49)_"/>
    <w:basedOn w:val="a0"/>
    <w:link w:val="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490pt">
    <w:name w:val="Оглавление (49) + Интервал 0 pt"/>
    <w:basedOn w:val="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1420">
    <w:name w:val="Заголовок №14 (2)"/>
    <w:basedOn w:val="a"/>
    <w:link w:val="142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pacing w:val="-9"/>
      <w:sz w:val="26"/>
      <w:szCs w:val="26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490">
    <w:name w:val="Оглавление (49)"/>
    <w:basedOn w:val="a"/>
    <w:link w:val="4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A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29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009A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2022-04-12T06:21:00Z</dcterms:created>
  <dcterms:modified xsi:type="dcterms:W3CDTF">2022-04-15T07:04:00Z</dcterms:modified>
</cp:coreProperties>
</file>