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2" w:rsidRPr="00660A02" w:rsidRDefault="00B62351" w:rsidP="00660A02">
      <w:r>
        <w:rPr>
          <w:noProof/>
          <w:lang w:val="ru-RU"/>
        </w:rPr>
        <w:drawing>
          <wp:inline distT="0" distB="0" distL="0" distR="0">
            <wp:extent cx="4735830" cy="656463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02" w:rsidRDefault="00660A02" w:rsidP="000B2067">
      <w:r>
        <w:br w:type="page"/>
      </w:r>
    </w:p>
    <w:p w:rsidR="00546761" w:rsidRDefault="00A042D6">
      <w:pPr>
        <w:pStyle w:val="Bodytext110"/>
        <w:shd w:val="clear" w:color="auto" w:fill="auto"/>
        <w:spacing w:after="1480" w:line="180" w:lineRule="exact"/>
        <w:ind w:left="2360"/>
      </w:pPr>
      <w:r>
        <w:lastRenderedPageBreak/>
        <w:t>CUPRINS</w:t>
      </w:r>
    </w:p>
    <w:p w:rsidR="00546761" w:rsidRDefault="00A042D6">
      <w:pPr>
        <w:pStyle w:val="Tableofcontents50"/>
        <w:shd w:val="clear" w:color="auto" w:fill="auto"/>
        <w:tabs>
          <w:tab w:val="right" w:leader="dot" w:pos="5935"/>
        </w:tabs>
        <w:spacing w:before="0" w:after="213" w:line="19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INTRODUCERE</w:t>
      </w:r>
      <w:r>
        <w:tab/>
        <w:t>4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190" w:lineRule="exact"/>
        <w:ind w:left="20"/>
      </w:pPr>
      <w:r>
        <w:t>TEMA I, Noţiuni introductive în dreptul bancar şi valutar</w:t>
      </w:r>
      <w:r>
        <w:tab/>
        <w:t>6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494" w:lineRule="exact"/>
        <w:ind w:left="20"/>
      </w:pPr>
      <w:r>
        <w:t>TEMA II. Apariţia şi evoluţia băncilor şi sistemului bancar</w:t>
      </w:r>
      <w:r>
        <w:tab/>
        <w:t>12</w:t>
      </w:r>
    </w:p>
    <w:p w:rsidR="00546761" w:rsidRDefault="00A042D6">
      <w:pPr>
        <w:pStyle w:val="Tableofcontents50"/>
        <w:shd w:val="clear" w:color="auto" w:fill="auto"/>
        <w:tabs>
          <w:tab w:val="left" w:leader="dot" w:pos="3934"/>
          <w:tab w:val="left" w:leader="dot" w:pos="3947"/>
          <w:tab w:val="right" w:leader="dot" w:pos="5955"/>
        </w:tabs>
        <w:spacing w:before="0" w:after="0" w:line="494" w:lineRule="exact"/>
        <w:ind w:left="20"/>
      </w:pPr>
      <w:r>
        <w:t>TEMA III. Banca Naţională a Moldovei</w:t>
      </w:r>
      <w:r>
        <w:tab/>
      </w:r>
      <w:r>
        <w:tab/>
      </w:r>
      <w:r>
        <w:tab/>
        <w:t>20</w:t>
      </w:r>
    </w:p>
    <w:p w:rsidR="00546761" w:rsidRDefault="00A042D6">
      <w:pPr>
        <w:pStyle w:val="Tableofcontents50"/>
        <w:shd w:val="clear" w:color="auto" w:fill="auto"/>
        <w:tabs>
          <w:tab w:val="left" w:leader="dot" w:pos="5631"/>
        </w:tabs>
        <w:spacing w:before="0" w:after="0" w:line="494" w:lineRule="exact"/>
        <w:ind w:left="20"/>
      </w:pPr>
      <w:r>
        <w:t>TEMA IV. Băncile comerciale. Instituţiile financiare nebancare</w:t>
      </w:r>
      <w:r>
        <w:tab/>
        <w:t>29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494" w:lineRule="exact"/>
        <w:ind w:left="20"/>
      </w:pPr>
      <w:r>
        <w:t>TEMA V. Operaţiuni bancare pasive</w:t>
      </w:r>
      <w:r>
        <w:tab/>
        <w:t>55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494" w:lineRule="exact"/>
        <w:ind w:left="20"/>
      </w:pPr>
      <w:r>
        <w:t>TEMA VI. Operaţiuni de decontări</w:t>
      </w:r>
      <w:r>
        <w:tab/>
        <w:t>76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494" w:lineRule="exact"/>
        <w:ind w:left="20"/>
      </w:pPr>
      <w:r>
        <w:t>TEMA VII. Operaţiuni bancare active</w:t>
      </w:r>
      <w:r>
        <w:tab/>
        <w:t>95</w:t>
      </w:r>
    </w:p>
    <w:p w:rsidR="00546761" w:rsidRDefault="00A042D6">
      <w:pPr>
        <w:pStyle w:val="Tableofcontents50"/>
        <w:shd w:val="clear" w:color="auto" w:fill="auto"/>
        <w:tabs>
          <w:tab w:val="right" w:leader="dot" w:pos="5955"/>
        </w:tabs>
        <w:spacing w:before="0" w:after="0" w:line="494" w:lineRule="exact"/>
        <w:ind w:left="20"/>
      </w:pPr>
      <w:r>
        <w:t>TEMA VIII. Reglementarea juridică a operaţiunilor valutare</w:t>
      </w:r>
      <w:r>
        <w:tab/>
        <w:t>120</w:t>
      </w:r>
    </w:p>
    <w:p w:rsidR="00546761" w:rsidRDefault="00A042D6">
      <w:pPr>
        <w:pStyle w:val="Tableofcontents50"/>
        <w:shd w:val="clear" w:color="auto" w:fill="auto"/>
        <w:tabs>
          <w:tab w:val="left" w:leader="dot" w:pos="5324"/>
        </w:tabs>
        <w:spacing w:before="0" w:after="0" w:line="494" w:lineRule="exact"/>
        <w:ind w:left="20"/>
      </w:pPr>
      <w:r>
        <w:t>TEMA IX. Operaţiuni bancare cu titluri de valoare</w:t>
      </w:r>
      <w:r>
        <w:tab/>
        <w:t>....132</w:t>
      </w:r>
    </w:p>
    <w:p w:rsidR="00546761" w:rsidRDefault="00A042D6">
      <w:pPr>
        <w:pStyle w:val="Tableofcontents50"/>
        <w:shd w:val="clear" w:color="auto" w:fill="auto"/>
        <w:tabs>
          <w:tab w:val="left" w:leader="dot" w:pos="5611"/>
        </w:tabs>
        <w:spacing w:before="0" w:after="0" w:line="494" w:lineRule="exact"/>
      </w:pPr>
      <w:r>
        <w:t>BIBLIOGRAFIE</w:t>
      </w:r>
      <w:r>
        <w:tab/>
        <w:t>135</w:t>
      </w:r>
      <w:r>
        <w:fldChar w:fldCharType="end"/>
      </w:r>
    </w:p>
    <w:p w:rsidR="0040247E" w:rsidRDefault="0040247E" w:rsidP="0040247E">
      <w:pPr>
        <w:pStyle w:val="Tableofcontents50"/>
        <w:shd w:val="clear" w:color="auto" w:fill="auto"/>
        <w:tabs>
          <w:tab w:val="left" w:leader="dot" w:pos="5611"/>
        </w:tabs>
        <w:spacing w:before="0" w:after="0" w:line="240" w:lineRule="auto"/>
      </w:pPr>
    </w:p>
    <w:p w:rsidR="0040247E" w:rsidRDefault="0040247E" w:rsidP="0040247E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F05EC7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Drept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bancar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valutar: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Note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curs.</w:t>
      </w:r>
    </w:p>
    <w:p w:rsidR="0040247E" w:rsidRPr="002C6E95" w:rsidRDefault="0040247E" w:rsidP="0040247E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F05EC7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Armeanic</w:t>
      </w:r>
      <w:proofErr w:type="spellEnd"/>
      <w:r w:rsidR="00F05EC7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Alexandru</w:t>
      </w:r>
    </w:p>
    <w:p w:rsidR="0040247E" w:rsidRPr="002C6E95" w:rsidRDefault="0040247E" w:rsidP="0040247E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F05EC7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367C85">
        <w:rPr>
          <w:rFonts w:ascii="Arial" w:eastAsia="Book Antiqua" w:hAnsi="Arial" w:cs="Arial"/>
          <w:sz w:val="20"/>
          <w:szCs w:val="20"/>
          <w:lang w:val="en-US"/>
        </w:rPr>
        <w:t>:</w:t>
      </w:r>
      <w:r w:rsidR="00F05EC7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en-US"/>
        </w:rPr>
        <w:t>S.</w:t>
      </w:r>
      <w:r w:rsidR="00F05EC7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en-US"/>
        </w:rPr>
        <w:t>n.,</w:t>
      </w:r>
      <w:r w:rsidR="00F05EC7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en-US"/>
        </w:rPr>
        <w:t>2019</w:t>
      </w:r>
    </w:p>
    <w:p w:rsidR="0040247E" w:rsidRPr="002C6E95" w:rsidRDefault="0040247E" w:rsidP="0040247E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F05EC7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347.7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</w:t>
      </w:r>
      <w:r>
        <w:rPr>
          <w:rFonts w:ascii="Arial" w:eastAsia="Book Antiqua" w:hAnsi="Arial" w:cs="Arial"/>
          <w:sz w:val="20"/>
          <w:szCs w:val="20"/>
          <w:lang w:val="fr-CA"/>
        </w:rPr>
        <w:t>-80</w:t>
      </w:r>
    </w:p>
    <w:p w:rsidR="0040247E" w:rsidRPr="002C6E95" w:rsidRDefault="0040247E" w:rsidP="0040247E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F05EC7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(2</w:t>
      </w:r>
      <w:r w:rsidR="00F05EC7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40247E" w:rsidRDefault="0040247E" w:rsidP="0040247E">
      <w:pPr>
        <w:autoSpaceDN w:val="0"/>
        <w:spacing w:after="240"/>
        <w:contextualSpacing/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F05EC7">
        <w:rPr>
          <w:rFonts w:ascii="Arial" w:eastAsia="SimSun" w:hAnsi="Arial" w:cs="Arial"/>
          <w:lang w:val="fr-CA" w:eastAsia="zh-CN"/>
        </w:rPr>
        <w:t xml:space="preserve">  </w:t>
      </w:r>
      <w:bookmarkStart w:id="0" w:name="_GoBack"/>
      <w:bookmarkEnd w:id="0"/>
    </w:p>
    <w:sectPr w:rsidR="0040247E">
      <w:type w:val="continuous"/>
      <w:pgSz w:w="8391" w:h="11906"/>
      <w:pgMar w:top="446" w:right="554" w:bottom="685" w:left="372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4" w:rsidRDefault="00C063E4">
      <w:r>
        <w:separator/>
      </w:r>
    </w:p>
  </w:endnote>
  <w:endnote w:type="continuationSeparator" w:id="0">
    <w:p w:rsidR="00C063E4" w:rsidRDefault="00C0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4" w:rsidRDefault="00C063E4"/>
  </w:footnote>
  <w:footnote w:type="continuationSeparator" w:id="0">
    <w:p w:rsidR="00C063E4" w:rsidRDefault="00C063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1"/>
    <w:rsid w:val="000B2067"/>
    <w:rsid w:val="0040247E"/>
    <w:rsid w:val="00546761"/>
    <w:rsid w:val="00660A02"/>
    <w:rsid w:val="00A042D6"/>
    <w:rsid w:val="00A95C29"/>
    <w:rsid w:val="00B62351"/>
    <w:rsid w:val="00C063E4"/>
    <w:rsid w:val="00CF46A6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11">
    <w:name w:val="Body text (11)_"/>
    <w:link w:val="Bodytext11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5">
    <w:name w:val="Table of contents (5)_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150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7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7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0247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247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4024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11">
    <w:name w:val="Body text (11)_"/>
    <w:link w:val="Bodytext11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5">
    <w:name w:val="Table of contents (5)_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150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7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7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0247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247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4024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2020-09-22T07:11:00Z</dcterms:created>
  <dcterms:modified xsi:type="dcterms:W3CDTF">2020-09-22T12:27:00Z</dcterms:modified>
</cp:coreProperties>
</file>