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646" w:rsidRPr="009A0646" w:rsidRDefault="009A0646" w:rsidP="009A0646">
      <w:bookmarkStart w:id="0" w:name="bookmark0"/>
      <w:r>
        <w:rPr>
          <w:noProof/>
          <w:lang w:val="ru-RU"/>
        </w:rPr>
        <w:drawing>
          <wp:inline distT="0" distB="0" distL="0" distR="0">
            <wp:extent cx="5263116" cy="77405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1338" r="2131" b="1205"/>
                    <a:stretch/>
                  </pic:blipFill>
                  <pic:spPr bwMode="auto">
                    <a:xfrm>
                      <a:off x="0" y="0"/>
                      <a:ext cx="5263156" cy="774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646" w:rsidRDefault="009A0646">
      <w:pPr>
        <w:rPr>
          <w:rFonts w:ascii="Sylfaen" w:eastAsia="Sylfaen" w:hAnsi="Sylfaen" w:cs="Sylfaen"/>
          <w:spacing w:val="10"/>
        </w:rPr>
      </w:pPr>
      <w:r>
        <w:br w:type="page"/>
      </w:r>
    </w:p>
    <w:p w:rsidR="003C0DC7" w:rsidRDefault="008E0F57">
      <w:pPr>
        <w:pStyle w:val="Heading2830"/>
        <w:shd w:val="clear" w:color="auto" w:fill="auto"/>
        <w:spacing w:after="287" w:line="240" w:lineRule="exact"/>
        <w:ind w:right="340"/>
      </w:pPr>
      <w:r>
        <w:lastRenderedPageBreak/>
        <w:t>CUPRINS</w:t>
      </w:r>
      <w:bookmarkEnd w:id="0"/>
    </w:p>
    <w:p w:rsidR="003C0DC7" w:rsidRDefault="008E0F57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115" w:line="190" w:lineRule="exact"/>
        <w:ind w:left="2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Tableofcontents1"/>
        </w:rPr>
        <w:t>PREFAŢĂ</w:t>
      </w:r>
      <w:r>
        <w:rPr>
          <w:rStyle w:val="Tableofcontents1"/>
        </w:rPr>
        <w:tab/>
      </w:r>
      <w:r>
        <w:rPr>
          <w:rStyle w:val="Tableofcontents1"/>
        </w:rPr>
        <w:tab/>
        <w:t>4</w:t>
      </w:r>
    </w:p>
    <w:p w:rsidR="003C0DC7" w:rsidRDefault="008E0F57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274" w:lineRule="exact"/>
        <w:ind w:left="1260" w:right="860" w:hanging="1240"/>
      </w:pPr>
      <w:r>
        <w:rPr>
          <w:rStyle w:val="Tableofcontents1"/>
        </w:rPr>
        <w:t>Capitolul I. FUNDAMENTAREA TEORETICĂ A CONCEPTULUI DE INSTRUMENTE FISCALE ÎN CONTEXTUL ECONOMIEI DE PIAŢĂ FUNCŢIONALE</w:t>
      </w:r>
      <w:r>
        <w:rPr>
          <w:rStyle w:val="Tableofcontents1"/>
        </w:rPr>
        <w:tab/>
      </w:r>
      <w:r>
        <w:rPr>
          <w:rStyle w:val="Tableofcontents1"/>
        </w:rPr>
        <w:tab/>
        <w:t>6</w:t>
      </w:r>
    </w:p>
    <w:p w:rsidR="003C0DC7" w:rsidRDefault="008E0F57">
      <w:pPr>
        <w:pStyle w:val="Tableofcontents0"/>
        <w:numPr>
          <w:ilvl w:val="0"/>
          <w:numId w:val="1"/>
        </w:numPr>
        <w:shd w:val="clear" w:color="auto" w:fill="auto"/>
        <w:tabs>
          <w:tab w:val="left" w:pos="681"/>
          <w:tab w:val="left" w:leader="dot" w:pos="7081"/>
          <w:tab w:val="right" w:pos="7626"/>
        </w:tabs>
        <w:spacing w:before="0" w:after="0" w:line="274" w:lineRule="exact"/>
        <w:ind w:left="300" w:firstLine="0"/>
      </w:pPr>
      <w:r>
        <w:rPr>
          <w:rStyle w:val="Tableofcontents1"/>
        </w:rPr>
        <w:t>Abordări teoretice privind economia de piaţă funcţională</w:t>
      </w:r>
      <w:r>
        <w:rPr>
          <w:rStyle w:val="Tableofcontents1"/>
        </w:rPr>
        <w:tab/>
      </w:r>
      <w:r>
        <w:rPr>
          <w:rStyle w:val="Tableofcontents1"/>
        </w:rPr>
        <w:tab/>
        <w:t>6</w:t>
      </w:r>
    </w:p>
    <w:p w:rsidR="003C0DC7" w:rsidRDefault="008E0F57">
      <w:pPr>
        <w:pStyle w:val="Tableofcontents0"/>
        <w:numPr>
          <w:ilvl w:val="0"/>
          <w:numId w:val="1"/>
        </w:numPr>
        <w:shd w:val="clear" w:color="auto" w:fill="auto"/>
        <w:tabs>
          <w:tab w:val="left" w:pos="681"/>
          <w:tab w:val="left" w:leader="dot" w:pos="7081"/>
          <w:tab w:val="left" w:pos="7428"/>
        </w:tabs>
        <w:spacing w:before="0" w:after="0" w:line="274" w:lineRule="exact"/>
        <w:ind w:left="300" w:firstLine="0"/>
      </w:pPr>
      <w:r>
        <w:rPr>
          <w:rStyle w:val="Tableofcontents1"/>
        </w:rPr>
        <w:t>Repere conceptuale privind instrumentele financiare şi fiscale</w:t>
      </w:r>
      <w:r>
        <w:rPr>
          <w:rStyle w:val="Tableofcontents1"/>
        </w:rPr>
        <w:tab/>
      </w:r>
      <w:r>
        <w:rPr>
          <w:rStyle w:val="Tableofcontents1"/>
        </w:rPr>
        <w:tab/>
        <w:t>14</w:t>
      </w:r>
    </w:p>
    <w:p w:rsidR="003C0DC7" w:rsidRDefault="008E0F57">
      <w:pPr>
        <w:pStyle w:val="Tableofcontents0"/>
        <w:numPr>
          <w:ilvl w:val="0"/>
          <w:numId w:val="1"/>
        </w:numPr>
        <w:shd w:val="clear" w:color="auto" w:fill="auto"/>
        <w:tabs>
          <w:tab w:val="left" w:pos="681"/>
        </w:tabs>
        <w:spacing w:before="0" w:after="0" w:line="274" w:lineRule="exact"/>
        <w:ind w:left="300" w:firstLine="0"/>
      </w:pPr>
      <w:r>
        <w:rPr>
          <w:rStyle w:val="Tableofcontents1"/>
        </w:rPr>
        <w:t>Teoretizări asupra obiectivelor şi rolului instrumentelor fiscale în</w:t>
      </w:r>
    </w:p>
    <w:p w:rsidR="003C0DC7" w:rsidRDefault="008E0F57">
      <w:pPr>
        <w:pStyle w:val="Tableofcontents0"/>
        <w:shd w:val="clear" w:color="auto" w:fill="auto"/>
        <w:tabs>
          <w:tab w:val="left" w:leader="dot" w:pos="5287"/>
          <w:tab w:val="left" w:leader="dot" w:pos="5304"/>
          <w:tab w:val="left" w:leader="dot" w:pos="7081"/>
          <w:tab w:val="right" w:pos="7626"/>
        </w:tabs>
        <w:spacing w:before="0" w:after="0" w:line="274" w:lineRule="exact"/>
        <w:ind w:left="720" w:firstLine="0"/>
      </w:pPr>
      <w:r>
        <w:rPr>
          <w:rStyle w:val="Tableofcontents1"/>
        </w:rPr>
        <w:t>contextul politicii fiscale pozitive</w:t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  <w:t>20</w:t>
      </w:r>
    </w:p>
    <w:p w:rsidR="003C0DC7" w:rsidRDefault="008E0F57">
      <w:pPr>
        <w:pStyle w:val="Tableofcontents0"/>
        <w:numPr>
          <w:ilvl w:val="0"/>
          <w:numId w:val="1"/>
        </w:numPr>
        <w:shd w:val="clear" w:color="auto" w:fill="auto"/>
        <w:tabs>
          <w:tab w:val="left" w:pos="681"/>
          <w:tab w:val="left" w:leader="dot" w:pos="3422"/>
          <w:tab w:val="left" w:leader="dot" w:pos="3439"/>
          <w:tab w:val="left" w:leader="dot" w:pos="7081"/>
          <w:tab w:val="right" w:pos="7626"/>
        </w:tabs>
        <w:spacing w:before="0" w:after="56" w:line="274" w:lineRule="exact"/>
        <w:ind w:left="300" w:firstLine="0"/>
      </w:pPr>
      <w:r>
        <w:rPr>
          <w:rStyle w:val="Tableofcontents1"/>
        </w:rPr>
        <w:t>Recapitulare</w:t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  <w:t>34</w:t>
      </w:r>
    </w:p>
    <w:p w:rsidR="003C0DC7" w:rsidRDefault="008E0F57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278" w:lineRule="exact"/>
        <w:ind w:left="1260" w:right="860" w:hanging="1240"/>
      </w:pPr>
      <w:r>
        <w:rPr>
          <w:rStyle w:val="Tableofcontents1"/>
        </w:rPr>
        <w:t>Capitolul II. EVALUAREA ŞI RELAŢIONAREA INSTRUMENTELOR FISCALE PRIN PRISMA CRITERIILOR ŞI CARACTE</w:t>
      </w:r>
      <w:r>
        <w:rPr>
          <w:rStyle w:val="Tableofcontents1"/>
        </w:rPr>
        <w:softHyphen/>
        <w:t>RISTICILOR ECONOMIEI DE PIAŢĂ FUNCŢIONALE</w:t>
      </w:r>
      <w:r>
        <w:rPr>
          <w:rStyle w:val="Tableofcontents1"/>
        </w:rPr>
        <w:tab/>
      </w:r>
      <w:r>
        <w:rPr>
          <w:rStyle w:val="Tableofcontents1"/>
        </w:rPr>
        <w:tab/>
        <w:t>36</w:t>
      </w:r>
    </w:p>
    <w:p w:rsidR="003C0DC7" w:rsidRDefault="008E0F57">
      <w:pPr>
        <w:pStyle w:val="Tableofcontents0"/>
        <w:numPr>
          <w:ilvl w:val="0"/>
          <w:numId w:val="2"/>
        </w:numPr>
        <w:shd w:val="clear" w:color="auto" w:fill="auto"/>
        <w:tabs>
          <w:tab w:val="left" w:pos="681"/>
        </w:tabs>
        <w:spacing w:before="0" w:after="0" w:line="274" w:lineRule="exact"/>
        <w:ind w:left="300" w:firstLine="0"/>
      </w:pPr>
      <w:r>
        <w:rPr>
          <w:rStyle w:val="Tableofcontents1"/>
        </w:rPr>
        <w:t>Cadrul analitic de evaluare a impactului instrumentelor fiscale asupra</w:t>
      </w:r>
    </w:p>
    <w:p w:rsidR="003C0DC7" w:rsidRDefault="008E0F57">
      <w:pPr>
        <w:pStyle w:val="Tableofcontents0"/>
        <w:shd w:val="clear" w:color="auto" w:fill="auto"/>
        <w:tabs>
          <w:tab w:val="left" w:leader="dot" w:pos="4080"/>
          <w:tab w:val="left" w:leader="dot" w:pos="4099"/>
          <w:tab w:val="left" w:leader="dot" w:pos="7081"/>
          <w:tab w:val="right" w:pos="7626"/>
        </w:tabs>
        <w:spacing w:before="0" w:after="0" w:line="274" w:lineRule="exact"/>
        <w:ind w:left="720" w:firstLine="0"/>
      </w:pPr>
      <w:r>
        <w:rPr>
          <w:rStyle w:val="Tableofcontents1"/>
        </w:rPr>
        <w:t>funcţionalităţii economiei de piaţă</w:t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  <w:t>36</w:t>
      </w:r>
    </w:p>
    <w:p w:rsidR="003C0DC7" w:rsidRDefault="008E0F57">
      <w:pPr>
        <w:pStyle w:val="Tableofcontents0"/>
        <w:numPr>
          <w:ilvl w:val="0"/>
          <w:numId w:val="2"/>
        </w:numPr>
        <w:shd w:val="clear" w:color="auto" w:fill="auto"/>
        <w:tabs>
          <w:tab w:val="left" w:pos="681"/>
        </w:tabs>
        <w:spacing w:before="0" w:after="0" w:line="274" w:lineRule="exact"/>
        <w:ind w:left="300" w:firstLine="0"/>
      </w:pPr>
      <w:r>
        <w:rPr>
          <w:rStyle w:val="Tableofcontents1"/>
        </w:rPr>
        <w:t>Instrumentele fiscale sub impactul factorilor şi parametrilor</w:t>
      </w:r>
    </w:p>
    <w:p w:rsidR="003C0DC7" w:rsidRDefault="008E0F57">
      <w:pPr>
        <w:pStyle w:val="Tableofcontents0"/>
        <w:shd w:val="clear" w:color="auto" w:fill="auto"/>
        <w:tabs>
          <w:tab w:val="left" w:leader="dot" w:pos="6632"/>
          <w:tab w:val="left" w:leader="dot" w:pos="6696"/>
          <w:tab w:val="left" w:leader="dot" w:pos="7081"/>
          <w:tab w:val="right" w:pos="7626"/>
        </w:tabs>
        <w:spacing w:before="0" w:after="0" w:line="274" w:lineRule="exact"/>
        <w:ind w:left="720" w:firstLine="0"/>
      </w:pPr>
      <w:r>
        <w:rPr>
          <w:rStyle w:val="Tableofcontents1"/>
        </w:rPr>
        <w:t>macroeconomici şi structurali ai economiei de piaţă</w:t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  <w:t>41</w:t>
      </w:r>
    </w:p>
    <w:p w:rsidR="003C0DC7" w:rsidRDefault="008E0F57">
      <w:pPr>
        <w:pStyle w:val="Tableofcontents0"/>
        <w:numPr>
          <w:ilvl w:val="0"/>
          <w:numId w:val="2"/>
        </w:numPr>
        <w:shd w:val="clear" w:color="auto" w:fill="auto"/>
        <w:tabs>
          <w:tab w:val="left" w:pos="681"/>
        </w:tabs>
        <w:spacing w:before="0" w:after="0" w:line="274" w:lineRule="exact"/>
        <w:ind w:left="300" w:firstLine="0"/>
      </w:pPr>
      <w:r>
        <w:rPr>
          <w:rStyle w:val="Tableofcontents1"/>
        </w:rPr>
        <w:t>Interdependenţa dintre sistemul de impozite şi taxe din Republica</w:t>
      </w:r>
    </w:p>
    <w:p w:rsidR="003C0DC7" w:rsidRDefault="008E0F57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274" w:lineRule="exact"/>
        <w:ind w:left="720" w:firstLine="0"/>
      </w:pPr>
      <w:r>
        <w:rPr>
          <w:rStyle w:val="Tableofcontents1"/>
        </w:rPr>
        <w:t>Moldova şi caracterul funcţional al economiei naţionale</w:t>
      </w:r>
      <w:r>
        <w:rPr>
          <w:rStyle w:val="Tableofcontents1"/>
        </w:rPr>
        <w:tab/>
      </w:r>
      <w:r>
        <w:rPr>
          <w:rStyle w:val="Tableofcontents1"/>
        </w:rPr>
        <w:tab/>
        <w:t>55</w:t>
      </w:r>
    </w:p>
    <w:p w:rsidR="003C0DC7" w:rsidRDefault="008E0F57">
      <w:pPr>
        <w:pStyle w:val="Tableofcontents0"/>
        <w:numPr>
          <w:ilvl w:val="0"/>
          <w:numId w:val="2"/>
        </w:numPr>
        <w:shd w:val="clear" w:color="auto" w:fill="auto"/>
        <w:tabs>
          <w:tab w:val="left" w:pos="681"/>
        </w:tabs>
        <w:spacing w:before="0" w:after="0" w:line="274" w:lineRule="exact"/>
        <w:ind w:left="300" w:firstLine="0"/>
      </w:pPr>
      <w:r>
        <w:rPr>
          <w:rStyle w:val="Tableofcontents1"/>
        </w:rPr>
        <w:t>Asigurarea funcţionalităţii economiei de piaţă prin raţionalizarea</w:t>
      </w:r>
    </w:p>
    <w:p w:rsidR="003C0DC7" w:rsidRDefault="008E0F57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274" w:lineRule="exact"/>
        <w:ind w:left="720" w:firstLine="0"/>
      </w:pPr>
      <w:r>
        <w:rPr>
          <w:rStyle w:val="Tableofcontents1"/>
        </w:rPr>
        <w:t>structurii fiscale</w:t>
      </w:r>
      <w:r>
        <w:rPr>
          <w:rStyle w:val="Tableofcontents1"/>
        </w:rPr>
        <w:tab/>
      </w:r>
      <w:r>
        <w:rPr>
          <w:rStyle w:val="Tableofcontents1"/>
        </w:rPr>
        <w:tab/>
        <w:t>68</w:t>
      </w:r>
    </w:p>
    <w:p w:rsidR="003C0DC7" w:rsidRDefault="008E0F57">
      <w:pPr>
        <w:pStyle w:val="Tableofcontents0"/>
        <w:numPr>
          <w:ilvl w:val="0"/>
          <w:numId w:val="2"/>
        </w:numPr>
        <w:shd w:val="clear" w:color="auto" w:fill="auto"/>
        <w:tabs>
          <w:tab w:val="left" w:pos="681"/>
          <w:tab w:val="left" w:leader="dot" w:pos="3086"/>
          <w:tab w:val="left" w:leader="dot" w:pos="3103"/>
          <w:tab w:val="left" w:leader="dot" w:pos="7081"/>
          <w:tab w:val="right" w:pos="7626"/>
        </w:tabs>
        <w:spacing w:before="0" w:after="56" w:line="274" w:lineRule="exact"/>
        <w:ind w:left="300" w:firstLine="0"/>
      </w:pPr>
      <w:r>
        <w:rPr>
          <w:rStyle w:val="Tableofcontents1"/>
        </w:rPr>
        <w:t>Recapitulare</w:t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  <w:t>77</w:t>
      </w:r>
    </w:p>
    <w:p w:rsidR="003C0DC7" w:rsidRDefault="008E0F57">
      <w:pPr>
        <w:pStyle w:val="Tableofcontents0"/>
        <w:shd w:val="clear" w:color="auto" w:fill="auto"/>
        <w:tabs>
          <w:tab w:val="left" w:leader="dot" w:pos="4978"/>
          <w:tab w:val="left" w:leader="dot" w:pos="7081"/>
          <w:tab w:val="right" w:pos="7626"/>
        </w:tabs>
        <w:spacing w:before="0" w:after="0" w:line="278" w:lineRule="exact"/>
        <w:ind w:left="1260" w:right="860" w:hanging="1240"/>
      </w:pPr>
      <w:r>
        <w:rPr>
          <w:rStyle w:val="Tableofcontents1"/>
        </w:rPr>
        <w:t>Capitolul III. RAŢIONALIZAREA GESTIUNII INSTRUMENTELOR FISCALE ÎN SCOPUL ÎMBUNĂTĂŢIRII FUNCŢIONA</w:t>
      </w:r>
      <w:r>
        <w:rPr>
          <w:rStyle w:val="Tableofcontents1"/>
        </w:rPr>
        <w:softHyphen/>
        <w:t>LITĂŢII ECONOMIEI DE PIAŢĂ</w:t>
      </w:r>
      <w:r>
        <w:rPr>
          <w:rStyle w:val="Tableofcontents1"/>
        </w:rPr>
        <w:tab/>
        <w:t xml:space="preserve"> </w:t>
      </w:r>
      <w:r>
        <w:rPr>
          <w:rStyle w:val="Tableofcontents1"/>
        </w:rPr>
        <w:tab/>
        <w:t>79</w:t>
      </w:r>
    </w:p>
    <w:p w:rsidR="003C0DC7" w:rsidRDefault="008E0F57">
      <w:pPr>
        <w:pStyle w:val="Tableofcontents0"/>
        <w:numPr>
          <w:ilvl w:val="0"/>
          <w:numId w:val="3"/>
        </w:numPr>
        <w:shd w:val="clear" w:color="auto" w:fill="auto"/>
        <w:tabs>
          <w:tab w:val="left" w:pos="681"/>
        </w:tabs>
        <w:spacing w:before="0" w:after="0" w:line="274" w:lineRule="exact"/>
        <w:ind w:left="300" w:firstLine="0"/>
      </w:pPr>
      <w:r>
        <w:rPr>
          <w:rStyle w:val="Tableofcontents1"/>
        </w:rPr>
        <w:t>Sustenabilitatea şi stabilitatea fiscală în calitate de criterii fundamentale</w:t>
      </w:r>
    </w:p>
    <w:p w:rsidR="003C0DC7" w:rsidRDefault="008E0F57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274" w:lineRule="exact"/>
        <w:ind w:left="720" w:right="20" w:firstLine="0"/>
        <w:jc w:val="left"/>
      </w:pPr>
      <w:r>
        <w:rPr>
          <w:rStyle w:val="Tableofcontents1"/>
        </w:rPr>
        <w:t>pentru proiectarea instrumentelor fiscale în contextul economiei de piaţă funcţionale</w:t>
      </w:r>
      <w:r>
        <w:rPr>
          <w:rStyle w:val="Tableofcontents1"/>
        </w:rPr>
        <w:tab/>
      </w:r>
      <w:r>
        <w:rPr>
          <w:rStyle w:val="Tableofcontents1"/>
        </w:rPr>
        <w:tab/>
        <w:t>79</w:t>
      </w:r>
    </w:p>
    <w:p w:rsidR="003C0DC7" w:rsidRDefault="008E0F57">
      <w:pPr>
        <w:pStyle w:val="Tableofcontents0"/>
        <w:numPr>
          <w:ilvl w:val="0"/>
          <w:numId w:val="3"/>
        </w:numPr>
        <w:shd w:val="clear" w:color="auto" w:fill="auto"/>
        <w:tabs>
          <w:tab w:val="left" w:pos="681"/>
        </w:tabs>
        <w:spacing w:before="0" w:after="0" w:line="274" w:lineRule="exact"/>
        <w:ind w:left="300" w:firstLine="0"/>
      </w:pPr>
      <w:r>
        <w:rPr>
          <w:rStyle w:val="Tableofcontents1"/>
        </w:rPr>
        <w:t>Proiectarea instrumentelor fiscale pentru stimularea proceselor inovatoare</w:t>
      </w:r>
    </w:p>
    <w:p w:rsidR="003C0DC7" w:rsidRDefault="008E0F57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274" w:lineRule="exact"/>
        <w:ind w:left="720" w:firstLine="0"/>
      </w:pPr>
      <w:r>
        <w:rPr>
          <w:rStyle w:val="Tableofcontents1"/>
        </w:rPr>
        <w:t>în calitate de factor determinant al economiei de piaţă funcţionale</w:t>
      </w:r>
      <w:r>
        <w:rPr>
          <w:rStyle w:val="Tableofcontents1"/>
        </w:rPr>
        <w:tab/>
      </w:r>
      <w:r>
        <w:rPr>
          <w:rStyle w:val="Tableofcontents1"/>
        </w:rPr>
        <w:tab/>
        <w:t>95</w:t>
      </w:r>
    </w:p>
    <w:p w:rsidR="003C0DC7" w:rsidRDefault="008E0F57">
      <w:pPr>
        <w:pStyle w:val="Tableofcontents0"/>
        <w:numPr>
          <w:ilvl w:val="0"/>
          <w:numId w:val="3"/>
        </w:numPr>
        <w:shd w:val="clear" w:color="auto" w:fill="auto"/>
        <w:tabs>
          <w:tab w:val="left" w:pos="681"/>
        </w:tabs>
        <w:spacing w:before="0" w:after="0" w:line="274" w:lineRule="exact"/>
        <w:ind w:left="300" w:firstLine="0"/>
      </w:pPr>
      <w:r>
        <w:rPr>
          <w:rStyle w:val="Tableofcontents1"/>
        </w:rPr>
        <w:t>Raţionalizarea administrării instrumentelor fiscale prin implementarea</w:t>
      </w:r>
    </w:p>
    <w:p w:rsidR="003C0DC7" w:rsidRDefault="008E0F57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274" w:lineRule="exact"/>
        <w:ind w:left="720" w:firstLine="0"/>
      </w:pPr>
      <w:r>
        <w:rPr>
          <w:rStyle w:val="Tableofcontents1"/>
        </w:rPr>
        <w:t>auditului fiscal</w:t>
      </w:r>
      <w:r>
        <w:rPr>
          <w:rStyle w:val="Tableofcontents1"/>
        </w:rPr>
        <w:tab/>
      </w:r>
      <w:r>
        <w:rPr>
          <w:rStyle w:val="Tableofcontents1"/>
        </w:rPr>
        <w:tab/>
        <w:t>100</w:t>
      </w:r>
    </w:p>
    <w:p w:rsidR="003C0DC7" w:rsidRDefault="008E0F57">
      <w:pPr>
        <w:pStyle w:val="Tableofcontents0"/>
        <w:numPr>
          <w:ilvl w:val="0"/>
          <w:numId w:val="3"/>
        </w:numPr>
        <w:shd w:val="clear" w:color="auto" w:fill="auto"/>
        <w:tabs>
          <w:tab w:val="left" w:pos="681"/>
          <w:tab w:val="left" w:leader="dot" w:pos="7081"/>
          <w:tab w:val="right" w:pos="7626"/>
        </w:tabs>
        <w:spacing w:before="0" w:after="0" w:line="274" w:lineRule="exact"/>
        <w:ind w:left="300" w:firstLine="0"/>
      </w:pPr>
      <w:r>
        <w:rPr>
          <w:rStyle w:val="Tableofcontents1"/>
        </w:rPr>
        <w:t>Recapitulare</w:t>
      </w:r>
      <w:r>
        <w:rPr>
          <w:rStyle w:val="Tableofcontents1"/>
        </w:rPr>
        <w:tab/>
      </w:r>
      <w:r>
        <w:rPr>
          <w:rStyle w:val="Tableofcontents1"/>
        </w:rPr>
        <w:tab/>
        <w:t>121</w:t>
      </w:r>
    </w:p>
    <w:p w:rsidR="003C0DC7" w:rsidRDefault="008E0F57">
      <w:pPr>
        <w:pStyle w:val="Tableofcontents0"/>
        <w:shd w:val="clear" w:color="auto" w:fill="auto"/>
        <w:tabs>
          <w:tab w:val="left" w:leader="dot" w:pos="4398"/>
          <w:tab w:val="left" w:leader="dot" w:pos="4412"/>
          <w:tab w:val="left" w:leader="dot" w:pos="5922"/>
          <w:tab w:val="left" w:leader="dot" w:pos="5939"/>
          <w:tab w:val="left" w:leader="dot" w:pos="6632"/>
          <w:tab w:val="left" w:leader="dot" w:pos="6632"/>
          <w:tab w:val="left" w:leader="dot" w:pos="7081"/>
        </w:tabs>
        <w:spacing w:before="0" w:after="0" w:line="398" w:lineRule="exact"/>
        <w:ind w:left="20" w:firstLine="0"/>
      </w:pPr>
      <w:r>
        <w:rPr>
          <w:rStyle w:val="Tableofcontents1"/>
        </w:rPr>
        <w:t>ÎNCHEIERE</w:t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  <w:t xml:space="preserve"> 123</w:t>
      </w:r>
    </w:p>
    <w:p w:rsidR="003C0DC7" w:rsidRDefault="008E0F57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398" w:lineRule="exact"/>
        <w:ind w:left="20" w:firstLine="0"/>
      </w:pPr>
      <w:r>
        <w:rPr>
          <w:rStyle w:val="Tableofcontents1"/>
        </w:rPr>
        <w:t>BIBLIOGRAFIE</w:t>
      </w:r>
      <w:r>
        <w:rPr>
          <w:rStyle w:val="Tableofcontents1"/>
        </w:rPr>
        <w:tab/>
      </w:r>
      <w:r>
        <w:rPr>
          <w:rStyle w:val="Tableofcontents1"/>
        </w:rPr>
        <w:tab/>
        <w:t>129</w:t>
      </w:r>
    </w:p>
    <w:p w:rsidR="003C0DC7" w:rsidRDefault="008E0F57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398" w:lineRule="exact"/>
        <w:ind w:left="20" w:firstLine="0"/>
      </w:pPr>
      <w:r>
        <w:rPr>
          <w:rStyle w:val="Tableofcontents1"/>
        </w:rPr>
        <w:t>LISTA ABREVIERILOR</w:t>
      </w:r>
      <w:r>
        <w:rPr>
          <w:rStyle w:val="Tableofcontents1"/>
        </w:rPr>
        <w:tab/>
      </w:r>
      <w:r>
        <w:rPr>
          <w:rStyle w:val="Tableofcontents1"/>
        </w:rPr>
        <w:tab/>
        <w:t>143</w:t>
      </w:r>
    </w:p>
    <w:p w:rsidR="003C0DC7" w:rsidRDefault="008E0F57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398" w:lineRule="exact"/>
        <w:ind w:left="20" w:firstLine="0"/>
      </w:pPr>
      <w:r>
        <w:rPr>
          <w:rStyle w:val="Tableofcontents1"/>
        </w:rPr>
        <w:t>ANEXE</w:t>
      </w:r>
      <w:r>
        <w:rPr>
          <w:rStyle w:val="Tableofcontents1"/>
        </w:rPr>
        <w:tab/>
      </w:r>
      <w:r>
        <w:rPr>
          <w:rStyle w:val="Tableofcontents1"/>
        </w:rPr>
        <w:tab/>
        <w:t>144</w:t>
      </w:r>
      <w:r>
        <w:fldChar w:fldCharType="end"/>
      </w:r>
    </w:p>
    <w:p w:rsidR="009A0646" w:rsidRDefault="009A0646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398" w:lineRule="exact"/>
        <w:ind w:left="20" w:firstLine="0"/>
      </w:pPr>
    </w:p>
    <w:p w:rsidR="009A0646" w:rsidRDefault="009A0646" w:rsidP="007E1E43">
      <w:pPr>
        <w:autoSpaceDN w:val="0"/>
        <w:spacing w:before="100" w:beforeAutospacing="1" w:after="100" w:afterAutospacing="1"/>
        <w:contextualSpacing/>
        <w:rPr>
          <w:rFonts w:ascii="Arial" w:eastAsia="Book Antiqua" w:hAnsi="Arial" w:cs="Arial"/>
          <w:sz w:val="20"/>
          <w:szCs w:val="20"/>
        </w:rPr>
      </w:pPr>
      <w:proofErr w:type="spellStart"/>
      <w:r w:rsidRPr="002C6E95">
        <w:rPr>
          <w:rFonts w:ascii="Arial" w:eastAsia="SimSun" w:hAnsi="Arial" w:cs="Arial"/>
          <w:b/>
          <w:bCs/>
          <w:lang w:val="it-IT" w:eastAsia="zh-CN"/>
        </w:rPr>
        <w:t>Titlu</w:t>
      </w:r>
      <w:proofErr w:type="spellEnd"/>
      <w:r w:rsidRPr="002C6E95">
        <w:rPr>
          <w:rFonts w:ascii="Arial" w:eastAsia="SimSun" w:hAnsi="Arial" w:cs="Arial"/>
          <w:b/>
          <w:bCs/>
          <w:lang w:val="it-IT" w:eastAsia="zh-CN"/>
        </w:rPr>
        <w:t>:</w:t>
      </w:r>
      <w:proofErr w:type="gramStart"/>
      <w:r w:rsidR="007E1E43">
        <w:rPr>
          <w:rFonts w:ascii="Arial" w:eastAsia="SimSun" w:hAnsi="Arial" w:cs="Arial"/>
          <w:lang w:val="it-IT" w:eastAsia="zh-CN"/>
        </w:rPr>
        <w:t xml:space="preserve">  </w:t>
      </w:r>
      <w:proofErr w:type="gramEnd"/>
      <w:r>
        <w:rPr>
          <w:rFonts w:ascii="Arial" w:eastAsia="Book Antiqua" w:hAnsi="Arial" w:cs="Arial"/>
          <w:sz w:val="20"/>
          <w:szCs w:val="20"/>
        </w:rPr>
        <w:t>Rolul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instrumentelor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fiscale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în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edificarea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economiei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de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piaţă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funcţionale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în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Republica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Moldova: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Monografie.</w:t>
      </w:r>
    </w:p>
    <w:p w:rsidR="009A0646" w:rsidRPr="002C6E95" w:rsidRDefault="009A0646" w:rsidP="007E1E43">
      <w:pPr>
        <w:autoSpaceDN w:val="0"/>
        <w:spacing w:before="100" w:beforeAutospacing="1" w:after="100" w:afterAutospacing="1"/>
        <w:contextualSpacing/>
        <w:rPr>
          <w:rFonts w:ascii="Arial" w:eastAsia="SimSun" w:hAnsi="Arial" w:cs="Arial"/>
          <w:lang w:eastAsia="zh-CN"/>
        </w:rPr>
      </w:pPr>
      <w:r w:rsidRPr="002C6E95">
        <w:rPr>
          <w:rFonts w:ascii="Arial" w:eastAsia="SimSun" w:hAnsi="Arial" w:cs="Arial"/>
          <w:b/>
          <w:bCs/>
          <w:lang w:val="es-ES" w:eastAsia="zh-CN"/>
        </w:rPr>
        <w:t>Autor:</w:t>
      </w:r>
      <w:r w:rsidR="007E1E43">
        <w:rPr>
          <w:rFonts w:ascii="Arial" w:eastAsia="SimSun" w:hAnsi="Arial" w:cs="Arial"/>
          <w:lang w:val="es-ES" w:eastAsia="zh-CN"/>
        </w:rPr>
        <w:t xml:space="preserve"> </w:t>
      </w:r>
      <w:proofErr w:type="spellStart"/>
      <w:r>
        <w:rPr>
          <w:rFonts w:ascii="Arial" w:eastAsia="Book Antiqua" w:hAnsi="Arial" w:cs="Arial"/>
          <w:sz w:val="20"/>
          <w:szCs w:val="20"/>
        </w:rPr>
        <w:t>Botnari</w:t>
      </w:r>
      <w:proofErr w:type="spellEnd"/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Nadejda,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Book Antiqua" w:hAnsi="Arial" w:cs="Arial"/>
          <w:sz w:val="20"/>
          <w:szCs w:val="20"/>
        </w:rPr>
        <w:t>Griciuc</w:t>
      </w:r>
      <w:proofErr w:type="spellEnd"/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Petru</w:t>
      </w:r>
    </w:p>
    <w:p w:rsidR="009A0646" w:rsidRPr="002C6E95" w:rsidRDefault="009A0646" w:rsidP="007E1E43">
      <w:pPr>
        <w:autoSpaceDN w:val="0"/>
        <w:contextualSpacing/>
        <w:rPr>
          <w:rFonts w:ascii="Arial" w:eastAsia="SimSun" w:hAnsi="Arial" w:cs="Arial"/>
          <w:lang w:val="it-IT" w:eastAsia="zh-CN"/>
        </w:rPr>
      </w:pPr>
      <w:proofErr w:type="spellStart"/>
      <w:r w:rsidRPr="002C6E95">
        <w:rPr>
          <w:rFonts w:ascii="Arial" w:eastAsia="SimSun" w:hAnsi="Arial" w:cs="Arial"/>
          <w:b/>
          <w:bCs/>
          <w:lang w:val="it-IT" w:eastAsia="zh-CN"/>
        </w:rPr>
        <w:t>Locul</w:t>
      </w:r>
      <w:proofErr w:type="spellEnd"/>
      <w:r w:rsidRPr="002C6E95">
        <w:rPr>
          <w:rFonts w:ascii="Arial" w:eastAsia="SimSun" w:hAnsi="Arial" w:cs="Arial"/>
          <w:b/>
          <w:bCs/>
          <w:lang w:val="it-IT" w:eastAsia="zh-CN"/>
        </w:rPr>
        <w:t>,</w:t>
      </w:r>
      <w:r w:rsidR="007E1E43">
        <w:rPr>
          <w:rFonts w:ascii="Arial" w:eastAsia="SimSun" w:hAnsi="Arial" w:cs="Arial"/>
          <w:b/>
          <w:bCs/>
          <w:lang w:val="it-IT" w:eastAsia="zh-CN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Chişinău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: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ASEM</w:t>
      </w:r>
      <w:r>
        <w:rPr>
          <w:rFonts w:ascii="Arial" w:eastAsia="Book Antiqua" w:hAnsi="Arial" w:cs="Arial"/>
          <w:sz w:val="20"/>
          <w:szCs w:val="20"/>
          <w:lang w:val="fr-CA"/>
        </w:rPr>
        <w:t>,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2019</w:t>
      </w:r>
    </w:p>
    <w:p w:rsidR="009A0646" w:rsidRPr="002C6E95" w:rsidRDefault="009A0646" w:rsidP="007E1E43">
      <w:pPr>
        <w:autoSpaceDN w:val="0"/>
        <w:contextualSpacing/>
        <w:rPr>
          <w:rFonts w:ascii="Arial" w:eastAsia="SimSun" w:hAnsi="Arial" w:cs="Arial"/>
          <w:lang w:val="it-IT" w:eastAsia="zh-CN"/>
        </w:rPr>
      </w:pPr>
      <w:r w:rsidRPr="002C6E95">
        <w:rPr>
          <w:rFonts w:ascii="Arial" w:eastAsia="SimSun" w:hAnsi="Arial" w:cs="Arial"/>
          <w:b/>
          <w:bCs/>
          <w:lang w:val="it-IT" w:eastAsia="zh-CN"/>
        </w:rPr>
        <w:t>Cota:</w:t>
      </w:r>
      <w:proofErr w:type="gramStart"/>
      <w:r w:rsidR="007E1E43">
        <w:rPr>
          <w:rFonts w:ascii="Arial" w:eastAsia="SimSun" w:hAnsi="Arial" w:cs="Arial"/>
          <w:lang w:val="it-IT" w:eastAsia="zh-CN"/>
        </w:rPr>
        <w:t xml:space="preserve">  </w:t>
      </w:r>
      <w:proofErr w:type="gramEnd"/>
      <w:r>
        <w:rPr>
          <w:rFonts w:ascii="Arial" w:eastAsia="Book Antiqua" w:hAnsi="Arial" w:cs="Arial"/>
          <w:sz w:val="20"/>
          <w:szCs w:val="20"/>
          <w:lang w:val="fr-CA"/>
        </w:rPr>
        <w:t>336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,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B</w:t>
      </w:r>
      <w:r w:rsidR="007E1E43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-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73</w:t>
      </w:r>
    </w:p>
    <w:p w:rsidR="009A0646" w:rsidRPr="002C6E95" w:rsidRDefault="009A0646" w:rsidP="007E1E43">
      <w:pPr>
        <w:autoSpaceDN w:val="0"/>
        <w:contextualSpacing/>
        <w:rPr>
          <w:rFonts w:ascii="Arial" w:eastAsia="SimSun" w:hAnsi="Arial" w:cs="Arial"/>
          <w:lang w:val="es-ES" w:eastAsia="zh-CN"/>
        </w:rPr>
      </w:pPr>
      <w:r w:rsidRPr="002C6E95">
        <w:rPr>
          <w:rFonts w:ascii="Arial" w:eastAsia="SimSun" w:hAnsi="Arial" w:cs="Arial"/>
          <w:b/>
          <w:bCs/>
          <w:lang w:val="es-ES" w:eastAsia="zh-CN"/>
        </w:rPr>
        <w:t>Localizare:</w:t>
      </w:r>
      <w:r w:rsidR="007E1E43">
        <w:rPr>
          <w:rFonts w:ascii="Arial" w:eastAsia="SimSun" w:hAnsi="Arial" w:cs="Arial"/>
          <w:lang w:val="es-ES" w:eastAsia="zh-CN"/>
        </w:rPr>
        <w:t xml:space="preserve">   </w:t>
      </w:r>
      <w:proofErr w:type="spellStart"/>
      <w:r w:rsidRPr="002C6E95">
        <w:rPr>
          <w:rFonts w:ascii="Arial" w:eastAsia="Book Antiqua" w:hAnsi="Arial" w:cs="Arial"/>
          <w:sz w:val="20"/>
          <w:szCs w:val="20"/>
          <w:lang w:val="fr-CA"/>
        </w:rPr>
        <w:t>Depozit</w:t>
      </w:r>
      <w:proofErr w:type="spellEnd"/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Central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(1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ex.)</w:t>
      </w:r>
      <w:r>
        <w:rPr>
          <w:rFonts w:ascii="Arial" w:eastAsia="Book Antiqua" w:hAnsi="Arial" w:cs="Arial"/>
          <w:sz w:val="20"/>
          <w:szCs w:val="20"/>
          <w:lang w:val="fr-CA"/>
        </w:rPr>
        <w:t>,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Sala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de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proofErr w:type="spellStart"/>
      <w:r>
        <w:rPr>
          <w:rFonts w:ascii="Arial" w:eastAsia="Book Antiqua" w:hAnsi="Arial" w:cs="Arial"/>
          <w:sz w:val="20"/>
          <w:szCs w:val="20"/>
          <w:lang w:val="fr-CA"/>
        </w:rPr>
        <w:t>lectură</w:t>
      </w:r>
      <w:proofErr w:type="spellEnd"/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Nr.1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(2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ex.),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proofErr w:type="spellStart"/>
      <w:r>
        <w:rPr>
          <w:rFonts w:ascii="Arial" w:eastAsia="Book Antiqua" w:hAnsi="Arial" w:cs="Arial"/>
          <w:sz w:val="20"/>
          <w:szCs w:val="20"/>
          <w:lang w:val="fr-CA"/>
        </w:rPr>
        <w:t>Împrumut</w:t>
      </w:r>
      <w:proofErr w:type="spellEnd"/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(3</w:t>
      </w:r>
      <w:r w:rsidR="007E1E43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ex.)</w:t>
      </w:r>
    </w:p>
    <w:p w:rsidR="009A0646" w:rsidRDefault="009A0646" w:rsidP="007E1E43">
      <w:pPr>
        <w:autoSpaceDN w:val="0"/>
        <w:spacing w:after="240"/>
        <w:rPr>
          <w:rFonts w:ascii="Arial" w:eastAsia="SimSun" w:hAnsi="Arial" w:cs="Arial"/>
          <w:lang w:val="fr-CA" w:eastAsia="zh-CN"/>
        </w:rPr>
      </w:pPr>
      <w:proofErr w:type="spellStart"/>
      <w:r w:rsidRPr="002C6E95">
        <w:rPr>
          <w:rFonts w:ascii="Arial" w:eastAsia="SimSun" w:hAnsi="Arial" w:cs="Arial"/>
          <w:b/>
          <w:bCs/>
          <w:lang w:val="fr-CA" w:eastAsia="zh-CN"/>
        </w:rPr>
        <w:t>Cuprins</w:t>
      </w:r>
      <w:proofErr w:type="spellEnd"/>
      <w:r w:rsidRPr="002C6E95">
        <w:rPr>
          <w:rFonts w:ascii="Arial" w:eastAsia="SimSun" w:hAnsi="Arial" w:cs="Arial"/>
          <w:b/>
          <w:bCs/>
          <w:lang w:val="fr-CA" w:eastAsia="zh-CN"/>
        </w:rPr>
        <w:t>:</w:t>
      </w:r>
      <w:r w:rsidR="007E1E43">
        <w:rPr>
          <w:rFonts w:ascii="Arial" w:eastAsia="SimSun" w:hAnsi="Arial" w:cs="Arial"/>
          <w:lang w:val="fr-CA" w:eastAsia="zh-CN"/>
        </w:rPr>
        <w:t xml:space="preserve">  </w:t>
      </w:r>
    </w:p>
    <w:p w:rsidR="009A0646" w:rsidRDefault="009A0646">
      <w:pPr>
        <w:pStyle w:val="Tableofcontents0"/>
        <w:shd w:val="clear" w:color="auto" w:fill="auto"/>
        <w:tabs>
          <w:tab w:val="left" w:leader="dot" w:pos="7081"/>
          <w:tab w:val="right" w:pos="7626"/>
        </w:tabs>
        <w:spacing w:before="0" w:after="0" w:line="398" w:lineRule="exact"/>
        <w:ind w:left="20" w:firstLine="0"/>
      </w:pPr>
      <w:bookmarkStart w:id="1" w:name="_GoBack"/>
      <w:bookmarkEnd w:id="1"/>
    </w:p>
    <w:sectPr w:rsidR="009A0646" w:rsidSect="009A0646">
      <w:type w:val="continuous"/>
      <w:pgSz w:w="11906" w:h="16838"/>
      <w:pgMar w:top="1701" w:right="1585" w:bottom="1560" w:left="1681" w:header="0" w:footer="3" w:gutter="0"/>
      <w:pgNumType w:start="5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B03" w:rsidRDefault="001C6B03">
      <w:r>
        <w:separator/>
      </w:r>
    </w:p>
  </w:endnote>
  <w:endnote w:type="continuationSeparator" w:id="0">
    <w:p w:rsidR="001C6B03" w:rsidRDefault="001C6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B03" w:rsidRDefault="001C6B03"/>
  </w:footnote>
  <w:footnote w:type="continuationSeparator" w:id="0">
    <w:p w:rsidR="001C6B03" w:rsidRDefault="001C6B0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1E70"/>
    <w:multiLevelType w:val="multilevel"/>
    <w:tmpl w:val="B6DA6E6A"/>
    <w:lvl w:ilvl="0">
      <w:start w:val="1"/>
      <w:numFmt w:val="decimal"/>
      <w:lvlText w:val="3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7066AEC"/>
    <w:multiLevelType w:val="multilevel"/>
    <w:tmpl w:val="7EC4C14C"/>
    <w:lvl w:ilvl="0">
      <w:start w:val="1"/>
      <w:numFmt w:val="decimal"/>
      <w:lvlText w:val="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C88420B"/>
    <w:multiLevelType w:val="multilevel"/>
    <w:tmpl w:val="C43E1326"/>
    <w:lvl w:ilvl="0">
      <w:start w:val="1"/>
      <w:numFmt w:val="decimal"/>
      <w:lvlText w:val="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DC7"/>
    <w:rsid w:val="001C6B03"/>
    <w:rsid w:val="003C0DC7"/>
    <w:rsid w:val="007E1E43"/>
    <w:rsid w:val="008E0F57"/>
    <w:rsid w:val="009A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o-RO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Heading283">
    <w:name w:val="Heading #28 (3)_"/>
    <w:basedOn w:val="DefaultParagraphFont"/>
    <w:link w:val="Heading283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Tableofcontents">
    <w:name w:val="Table of contents_"/>
    <w:basedOn w:val="DefaultParagraphFont"/>
    <w:link w:val="Tableofcontents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ableofcontents1">
    <w:name w:val="Table of contents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paragraph" w:customStyle="1" w:styleId="Heading2830">
    <w:name w:val="Heading #28 (3)"/>
    <w:basedOn w:val="Normal"/>
    <w:link w:val="Heading283"/>
    <w:pPr>
      <w:shd w:val="clear" w:color="auto" w:fill="FFFFFF"/>
      <w:spacing w:after="300" w:line="0" w:lineRule="atLeast"/>
      <w:jc w:val="center"/>
    </w:pPr>
    <w:rPr>
      <w:rFonts w:ascii="Sylfaen" w:eastAsia="Sylfaen" w:hAnsi="Sylfaen" w:cs="Sylfaen"/>
      <w:spacing w:val="10"/>
    </w:rPr>
  </w:style>
  <w:style w:type="paragraph" w:customStyle="1" w:styleId="Tableofcontents0">
    <w:name w:val="Table of contents"/>
    <w:basedOn w:val="Normal"/>
    <w:link w:val="Tableofcontents"/>
    <w:pPr>
      <w:shd w:val="clear" w:color="auto" w:fill="FFFFFF"/>
      <w:spacing w:before="240" w:after="240" w:line="0" w:lineRule="atLeast"/>
      <w:ind w:hanging="1460"/>
      <w:jc w:val="both"/>
    </w:pPr>
    <w:rPr>
      <w:rFonts w:ascii="Sylfaen" w:eastAsia="Sylfaen" w:hAnsi="Sylfaen" w:cs="Sylfaen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6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64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o-RO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Heading283">
    <w:name w:val="Heading #28 (3)_"/>
    <w:basedOn w:val="DefaultParagraphFont"/>
    <w:link w:val="Heading283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Tableofcontents">
    <w:name w:val="Table of contents_"/>
    <w:basedOn w:val="DefaultParagraphFont"/>
    <w:link w:val="Tableofcontents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ableofcontents1">
    <w:name w:val="Table of contents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paragraph" w:customStyle="1" w:styleId="Heading2830">
    <w:name w:val="Heading #28 (3)"/>
    <w:basedOn w:val="Normal"/>
    <w:link w:val="Heading283"/>
    <w:pPr>
      <w:shd w:val="clear" w:color="auto" w:fill="FFFFFF"/>
      <w:spacing w:after="300" w:line="0" w:lineRule="atLeast"/>
      <w:jc w:val="center"/>
    </w:pPr>
    <w:rPr>
      <w:rFonts w:ascii="Sylfaen" w:eastAsia="Sylfaen" w:hAnsi="Sylfaen" w:cs="Sylfaen"/>
      <w:spacing w:val="10"/>
    </w:rPr>
  </w:style>
  <w:style w:type="paragraph" w:customStyle="1" w:styleId="Tableofcontents0">
    <w:name w:val="Table of contents"/>
    <w:basedOn w:val="Normal"/>
    <w:link w:val="Tableofcontents"/>
    <w:pPr>
      <w:shd w:val="clear" w:color="auto" w:fill="FFFFFF"/>
      <w:spacing w:before="240" w:after="240" w:line="0" w:lineRule="atLeast"/>
      <w:ind w:hanging="1460"/>
      <w:jc w:val="both"/>
    </w:pPr>
    <w:rPr>
      <w:rFonts w:ascii="Sylfaen" w:eastAsia="Sylfaen" w:hAnsi="Sylfaen" w:cs="Sylfaen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6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64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293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2020-09-22T10:00:00Z</dcterms:created>
  <dcterms:modified xsi:type="dcterms:W3CDTF">2020-09-23T05:15:00Z</dcterms:modified>
</cp:coreProperties>
</file>