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DF" w:rsidRPr="002C2DDF" w:rsidRDefault="002C2DDF" w:rsidP="002C2DDF">
      <w:bookmarkStart w:id="0" w:name="bookmark0"/>
      <w:r>
        <w:rPr>
          <w:noProof/>
          <w:lang w:val="ru-RU"/>
        </w:rPr>
        <w:drawing>
          <wp:inline distT="0" distB="0" distL="0" distR="0">
            <wp:extent cx="4608195" cy="6610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6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DF" w:rsidRDefault="002C2DDF">
      <w:pPr>
        <w:rPr>
          <w:rFonts w:ascii="Segoe UI" w:eastAsia="Segoe UI" w:hAnsi="Segoe UI" w:cs="Segoe UI"/>
          <w:spacing w:val="22"/>
          <w:sz w:val="22"/>
          <w:szCs w:val="22"/>
        </w:rPr>
      </w:pPr>
      <w:r>
        <w:br w:type="page"/>
      </w:r>
    </w:p>
    <w:p w:rsidR="00250699" w:rsidRDefault="00EF380B" w:rsidP="002C2DDF">
      <w:pPr>
        <w:pStyle w:val="Heading180"/>
        <w:shd w:val="clear" w:color="auto" w:fill="auto"/>
        <w:spacing w:after="0" w:line="220" w:lineRule="exact"/>
        <w:ind w:left="300"/>
      </w:pPr>
      <w:r>
        <w:lastRenderedPageBreak/>
        <w:t>CUPRINS</w:t>
      </w:r>
      <w:bookmarkEnd w:id="0"/>
    </w:p>
    <w:p w:rsidR="00250699" w:rsidRPr="002C2DDF" w:rsidRDefault="00EF380B" w:rsidP="002C2DDF">
      <w:pPr>
        <w:pStyle w:val="Tableofcontents20"/>
        <w:shd w:val="clear" w:color="auto" w:fill="auto"/>
        <w:tabs>
          <w:tab w:val="right" w:leader="dot" w:pos="6523"/>
        </w:tabs>
        <w:spacing w:before="0" w:after="130" w:line="240" w:lineRule="auto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PREFAŢĂ</w:t>
      </w:r>
      <w:r w:rsidRPr="002C2DDF">
        <w:rPr>
          <w:rStyle w:val="Tableofcontents2Spacing0pt"/>
          <w:sz w:val="20"/>
          <w:szCs w:val="20"/>
        </w:rPr>
        <w:tab/>
        <w:t>7</w:t>
      </w:r>
    </w:p>
    <w:p w:rsidR="00250699" w:rsidRPr="002C2DDF" w:rsidRDefault="00EF380B" w:rsidP="002C2DDF">
      <w:pPr>
        <w:pStyle w:val="Tableofcontents20"/>
        <w:shd w:val="clear" w:color="auto" w:fill="auto"/>
        <w:spacing w:before="0" w:after="70" w:line="240" w:lineRule="auto"/>
        <w:jc w:val="left"/>
        <w:rPr>
          <w:sz w:val="20"/>
          <w:szCs w:val="20"/>
        </w:rPr>
      </w:pPr>
      <w:proofErr w:type="spellStart"/>
      <w:r w:rsidRPr="002C2DDF">
        <w:rPr>
          <w:rStyle w:val="Tableofcontents2ItalicSpacing0pt"/>
          <w:sz w:val="20"/>
          <w:szCs w:val="20"/>
        </w:rPr>
        <w:t>CapitolulI</w:t>
      </w:r>
      <w:proofErr w:type="spellEnd"/>
      <w:r w:rsidRPr="002C2DDF">
        <w:rPr>
          <w:rStyle w:val="Tableofcontents2ItalicSpacing0pt"/>
          <w:sz w:val="20"/>
          <w:szCs w:val="20"/>
        </w:rPr>
        <w:t>.</w:t>
      </w:r>
      <w:r w:rsidRPr="002C2DDF">
        <w:rPr>
          <w:rStyle w:val="Tableofcontents2Spacing0pt"/>
          <w:sz w:val="20"/>
          <w:szCs w:val="20"/>
        </w:rPr>
        <w:t xml:space="preserve"> STABILITATEA FINANCIARĂ ÎN SECTORUL CORPORATIV:</w:t>
      </w:r>
    </w:p>
    <w:p w:rsidR="00250699" w:rsidRPr="002C2DDF" w:rsidRDefault="00EF380B" w:rsidP="002C2DDF">
      <w:pPr>
        <w:pStyle w:val="Tableofcontents20"/>
        <w:shd w:val="clear" w:color="auto" w:fill="auto"/>
        <w:tabs>
          <w:tab w:val="right" w:leader="dot" w:pos="6823"/>
        </w:tabs>
        <w:spacing w:before="0" w:after="0" w:line="240" w:lineRule="auto"/>
        <w:ind w:left="86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 xml:space="preserve">CONCEPT Şl PARTICULARITĂŢI </w:t>
      </w:r>
      <w:r w:rsidRPr="002C2DDF">
        <w:rPr>
          <w:rStyle w:val="Tableofcontents2Spacing0pt"/>
          <w:sz w:val="20"/>
          <w:szCs w:val="20"/>
        </w:rPr>
        <w:tab/>
        <w:t>9</w:t>
      </w:r>
    </w:p>
    <w:p w:rsidR="00250699" w:rsidRPr="002C2DDF" w:rsidRDefault="00EF380B" w:rsidP="002C2DDF">
      <w:pPr>
        <w:pStyle w:val="Tableofcontents20"/>
        <w:numPr>
          <w:ilvl w:val="0"/>
          <w:numId w:val="1"/>
        </w:numPr>
        <w:shd w:val="clear" w:color="auto" w:fill="auto"/>
        <w:tabs>
          <w:tab w:val="left" w:pos="709"/>
          <w:tab w:val="right" w:leader="dot" w:pos="6823"/>
        </w:tabs>
        <w:spacing w:before="0" w:after="0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Conceptul de stabilitate financiară în sectorul corporativ</w:t>
      </w:r>
      <w:r w:rsidRPr="002C2DDF">
        <w:rPr>
          <w:rStyle w:val="Tableofcontents2Spacing0pt"/>
          <w:sz w:val="20"/>
          <w:szCs w:val="20"/>
        </w:rPr>
        <w:tab/>
        <w:t>9</w:t>
      </w:r>
    </w:p>
    <w:p w:rsidR="00250699" w:rsidRPr="002C2DDF" w:rsidRDefault="00EF380B" w:rsidP="002C2DDF">
      <w:pPr>
        <w:pStyle w:val="Tableofcontents20"/>
        <w:numPr>
          <w:ilvl w:val="0"/>
          <w:numId w:val="1"/>
        </w:numPr>
        <w:shd w:val="clear" w:color="auto" w:fill="auto"/>
        <w:tabs>
          <w:tab w:val="left" w:pos="709"/>
          <w:tab w:val="right" w:leader="dot" w:pos="6823"/>
        </w:tabs>
        <w:spacing w:before="0" w:after="0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Tipologia stabilităţii financiare la nivel de entitate</w:t>
      </w:r>
      <w:r w:rsidRPr="002C2DDF">
        <w:rPr>
          <w:rStyle w:val="Tableofcontents2Spacing0pt"/>
          <w:sz w:val="20"/>
          <w:szCs w:val="20"/>
        </w:rPr>
        <w:tab/>
        <w:t>18</w:t>
      </w:r>
    </w:p>
    <w:p w:rsidR="00250699" w:rsidRPr="002C2DDF" w:rsidRDefault="00EF380B" w:rsidP="002C2DDF">
      <w:pPr>
        <w:pStyle w:val="Tableofcontents20"/>
        <w:numPr>
          <w:ilvl w:val="0"/>
          <w:numId w:val="1"/>
        </w:numPr>
        <w:shd w:val="clear" w:color="auto" w:fill="auto"/>
        <w:tabs>
          <w:tab w:val="left" w:pos="709"/>
          <w:tab w:val="right" w:leader="dot" w:pos="6823"/>
        </w:tabs>
        <w:spacing w:before="0" w:after="122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Factorii ce cauzează reducerea stabilităţii financiare în sectorul corporativ</w:t>
      </w:r>
      <w:r w:rsidRPr="002C2DDF">
        <w:rPr>
          <w:rStyle w:val="Tableofcontents2Spacing0pt"/>
          <w:sz w:val="20"/>
          <w:szCs w:val="20"/>
        </w:rPr>
        <w:tab/>
        <w:t>24</w:t>
      </w:r>
    </w:p>
    <w:p w:rsidR="00250699" w:rsidRPr="002C2DDF" w:rsidRDefault="00EF380B" w:rsidP="002C2DDF">
      <w:pPr>
        <w:pStyle w:val="Tableofcontents20"/>
        <w:shd w:val="clear" w:color="auto" w:fill="auto"/>
        <w:spacing w:before="0" w:after="65" w:line="240" w:lineRule="auto"/>
        <w:jc w:val="left"/>
        <w:rPr>
          <w:sz w:val="20"/>
          <w:szCs w:val="20"/>
        </w:rPr>
      </w:pPr>
      <w:proofErr w:type="spellStart"/>
      <w:r w:rsidRPr="002C2DDF">
        <w:rPr>
          <w:rStyle w:val="Tableofcontents2ItalicSpacing0pt"/>
          <w:sz w:val="20"/>
          <w:szCs w:val="20"/>
        </w:rPr>
        <w:t>CapitolulII</w:t>
      </w:r>
      <w:proofErr w:type="spellEnd"/>
      <w:r w:rsidRPr="002C2DDF">
        <w:rPr>
          <w:rStyle w:val="Tableofcontents2ItalicSpacing0pt"/>
          <w:sz w:val="20"/>
          <w:szCs w:val="20"/>
        </w:rPr>
        <w:t>.</w:t>
      </w:r>
      <w:r w:rsidRPr="002C2DDF">
        <w:rPr>
          <w:rStyle w:val="Tableofcontents2Spacing0pt"/>
          <w:sz w:val="20"/>
          <w:szCs w:val="20"/>
        </w:rPr>
        <w:t xml:space="preserve"> CONSIDERAŢII GENERALE PRIVIND EVALUAREA STABILITĂŢII</w:t>
      </w:r>
    </w:p>
    <w:p w:rsidR="00250699" w:rsidRPr="002C2DDF" w:rsidRDefault="00EF380B" w:rsidP="002C2DDF">
      <w:pPr>
        <w:pStyle w:val="Tableofcontents20"/>
        <w:shd w:val="clear" w:color="auto" w:fill="auto"/>
        <w:tabs>
          <w:tab w:val="right" w:leader="dot" w:pos="6823"/>
        </w:tabs>
        <w:spacing w:before="0" w:after="4" w:line="240" w:lineRule="auto"/>
        <w:ind w:left="86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FINANCIARE ÎN SECTORUL CORPORATIV</w:t>
      </w:r>
      <w:r w:rsidRPr="002C2DDF">
        <w:rPr>
          <w:rStyle w:val="Tableofcontents2Spacing0pt"/>
          <w:sz w:val="20"/>
          <w:szCs w:val="20"/>
        </w:rPr>
        <w:tab/>
        <w:t>37</w:t>
      </w:r>
    </w:p>
    <w:p w:rsidR="00250699" w:rsidRPr="002C2DDF" w:rsidRDefault="00EF380B" w:rsidP="002C2DDF">
      <w:pPr>
        <w:pStyle w:val="Tableofcontents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0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Locul evaluării stabilităţii financiare în sistemul de gestiune a riscurilor</w:t>
      </w:r>
    </w:p>
    <w:p w:rsidR="00250699" w:rsidRPr="002C2DDF" w:rsidRDefault="00EF380B" w:rsidP="002C2DDF">
      <w:pPr>
        <w:pStyle w:val="Tableofcontents20"/>
        <w:shd w:val="clear" w:color="auto" w:fill="auto"/>
        <w:tabs>
          <w:tab w:val="right" w:leader="dot" w:pos="6823"/>
        </w:tabs>
        <w:spacing w:before="0" w:after="0" w:line="240" w:lineRule="auto"/>
        <w:ind w:left="58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în sectorul corporativ</w:t>
      </w:r>
      <w:r w:rsidRPr="002C2DDF">
        <w:rPr>
          <w:rStyle w:val="Tableofcontents2Spacing0pt"/>
          <w:sz w:val="20"/>
          <w:szCs w:val="20"/>
        </w:rPr>
        <w:tab/>
        <w:t>37</w:t>
      </w:r>
    </w:p>
    <w:p w:rsidR="00250699" w:rsidRPr="002C2DDF" w:rsidRDefault="00EF380B" w:rsidP="002C2DDF">
      <w:pPr>
        <w:pStyle w:val="Tableofcontents20"/>
        <w:numPr>
          <w:ilvl w:val="0"/>
          <w:numId w:val="2"/>
        </w:numPr>
        <w:shd w:val="clear" w:color="auto" w:fill="auto"/>
        <w:tabs>
          <w:tab w:val="left" w:pos="709"/>
          <w:tab w:val="right" w:leader="dot" w:pos="6823"/>
        </w:tabs>
        <w:spacing w:before="0" w:after="122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Caracteristica principalelor metode de evaluare a stabilităţii financiare</w:t>
      </w:r>
      <w:r w:rsidRPr="002C2DDF">
        <w:rPr>
          <w:rStyle w:val="Tableofcontents2Spacing0pt"/>
          <w:sz w:val="20"/>
          <w:szCs w:val="20"/>
        </w:rPr>
        <w:tab/>
        <w:t>46</w:t>
      </w:r>
    </w:p>
    <w:p w:rsidR="00250699" w:rsidRPr="002C2DDF" w:rsidRDefault="00EF380B" w:rsidP="002C2DDF">
      <w:pPr>
        <w:pStyle w:val="Tableofcontents20"/>
        <w:shd w:val="clear" w:color="auto" w:fill="auto"/>
        <w:spacing w:before="0" w:after="70" w:line="240" w:lineRule="auto"/>
        <w:jc w:val="left"/>
        <w:rPr>
          <w:sz w:val="20"/>
          <w:szCs w:val="20"/>
        </w:rPr>
      </w:pPr>
      <w:proofErr w:type="spellStart"/>
      <w:r w:rsidRPr="002C2DDF">
        <w:rPr>
          <w:rStyle w:val="Tableofcontents2ItalicSpacing0pt"/>
          <w:sz w:val="20"/>
          <w:szCs w:val="20"/>
        </w:rPr>
        <w:t>Capitolullll</w:t>
      </w:r>
      <w:proofErr w:type="spellEnd"/>
      <w:r w:rsidRPr="002C2DDF">
        <w:rPr>
          <w:rStyle w:val="Tableofcontents2ItalicSpacing0pt"/>
          <w:sz w:val="20"/>
          <w:szCs w:val="20"/>
        </w:rPr>
        <w:t>.</w:t>
      </w:r>
      <w:r w:rsidRPr="002C2DDF">
        <w:rPr>
          <w:rStyle w:val="Tableofcontents2Spacing0pt"/>
          <w:sz w:val="20"/>
          <w:szCs w:val="20"/>
        </w:rPr>
        <w:t xml:space="preserve"> SUCCINTĂ REVIZUIRE A UNUI SET DE METODE Şl MODELE</w:t>
      </w:r>
    </w:p>
    <w:p w:rsidR="00250699" w:rsidRPr="002C2DDF" w:rsidRDefault="00EF380B" w:rsidP="002C2DDF">
      <w:pPr>
        <w:pStyle w:val="Tableofcontents20"/>
        <w:shd w:val="clear" w:color="auto" w:fill="auto"/>
        <w:tabs>
          <w:tab w:val="right" w:leader="dot" w:pos="6823"/>
        </w:tabs>
        <w:spacing w:before="0" w:after="0" w:line="240" w:lineRule="auto"/>
        <w:ind w:left="86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 xml:space="preserve">DE EVALUARE A STABILITĂŢII FINANCIARE ÎN SECTORUL CORPORATIV </w:t>
      </w:r>
      <w:r w:rsidRPr="002C2DDF">
        <w:rPr>
          <w:rStyle w:val="Tableofcontents2Spacing0pt"/>
          <w:sz w:val="20"/>
          <w:szCs w:val="20"/>
        </w:rPr>
        <w:tab/>
        <w:t>53</w:t>
      </w:r>
    </w:p>
    <w:p w:rsidR="00250699" w:rsidRPr="002C2DDF" w:rsidRDefault="00EF380B" w:rsidP="002C2DDF">
      <w:pPr>
        <w:pStyle w:val="Tableofcontents20"/>
        <w:numPr>
          <w:ilvl w:val="0"/>
          <w:numId w:val="3"/>
        </w:numPr>
        <w:shd w:val="clear" w:color="auto" w:fill="auto"/>
        <w:tabs>
          <w:tab w:val="left" w:pos="851"/>
          <w:tab w:val="right" w:leader="dot" w:pos="6823"/>
        </w:tabs>
        <w:spacing w:before="0" w:after="0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Analiza stabilităţii financiare pe baza indicatorilor absoluţi</w:t>
      </w:r>
      <w:r w:rsidRPr="002C2DDF">
        <w:rPr>
          <w:rStyle w:val="Tableofcontents2Spacing0pt"/>
          <w:sz w:val="20"/>
          <w:szCs w:val="20"/>
        </w:rPr>
        <w:tab/>
        <w:t>53</w:t>
      </w:r>
    </w:p>
    <w:p w:rsidR="00250699" w:rsidRPr="002C2DDF" w:rsidRDefault="00EF380B" w:rsidP="002C2DDF">
      <w:pPr>
        <w:pStyle w:val="Tableofcontents20"/>
        <w:numPr>
          <w:ilvl w:val="0"/>
          <w:numId w:val="3"/>
        </w:numPr>
        <w:shd w:val="clear" w:color="auto" w:fill="auto"/>
        <w:tabs>
          <w:tab w:val="left" w:pos="581"/>
        </w:tabs>
        <w:spacing w:before="0" w:after="0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Aprecierea stabilităţii financiare pe baza corelaţiei dintre capitalul propriu</w:t>
      </w:r>
    </w:p>
    <w:p w:rsidR="00250699" w:rsidRPr="002C2DDF" w:rsidRDefault="00EF380B" w:rsidP="002C2DDF">
      <w:pPr>
        <w:pStyle w:val="Tableofcontents20"/>
        <w:shd w:val="clear" w:color="auto" w:fill="auto"/>
        <w:tabs>
          <w:tab w:val="right" w:leader="dot" w:pos="6823"/>
        </w:tabs>
        <w:spacing w:before="0" w:after="0" w:line="240" w:lineRule="auto"/>
        <w:ind w:left="58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şi capitalul împrumutat</w:t>
      </w:r>
      <w:r w:rsidRPr="002C2DDF">
        <w:rPr>
          <w:rStyle w:val="Tableofcontents2Spacing0pt"/>
          <w:sz w:val="20"/>
          <w:szCs w:val="20"/>
        </w:rPr>
        <w:tab/>
        <w:t>57</w:t>
      </w:r>
    </w:p>
    <w:p w:rsidR="00250699" w:rsidRPr="002C2DDF" w:rsidRDefault="00EF380B" w:rsidP="002C2DDF">
      <w:pPr>
        <w:pStyle w:val="Tableofcontents20"/>
        <w:numPr>
          <w:ilvl w:val="0"/>
          <w:numId w:val="3"/>
        </w:numPr>
        <w:shd w:val="clear" w:color="auto" w:fill="auto"/>
        <w:tabs>
          <w:tab w:val="left" w:pos="709"/>
          <w:tab w:val="left" w:leader="dot" w:pos="6607"/>
        </w:tabs>
        <w:spacing w:before="0" w:after="0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Analiza stabilităţii financiare pe baza corelaţiei dintre activele financiare şi nefinanciare</w:t>
      </w:r>
      <w:r w:rsidRPr="002C2DDF">
        <w:rPr>
          <w:rStyle w:val="Tableofcontents2Spacing0pt"/>
          <w:sz w:val="20"/>
          <w:szCs w:val="20"/>
        </w:rPr>
        <w:tab/>
        <w:t>64</w:t>
      </w:r>
    </w:p>
    <w:p w:rsidR="00250699" w:rsidRPr="002C2DDF" w:rsidRDefault="00EF380B" w:rsidP="002C2DDF">
      <w:pPr>
        <w:pStyle w:val="Tableofcontents20"/>
        <w:numPr>
          <w:ilvl w:val="0"/>
          <w:numId w:val="3"/>
        </w:numPr>
        <w:shd w:val="clear" w:color="auto" w:fill="auto"/>
        <w:tabs>
          <w:tab w:val="left" w:pos="851"/>
          <w:tab w:val="right" w:leader="dot" w:pos="6823"/>
        </w:tabs>
        <w:spacing w:before="0" w:after="125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 xml:space="preserve">Creşterea economică şi stabilitatea financiară </w:t>
      </w:r>
      <w:r w:rsidRPr="002C2DDF">
        <w:rPr>
          <w:rStyle w:val="Tableofcontents2Spacing0pt"/>
          <w:sz w:val="20"/>
          <w:szCs w:val="20"/>
        </w:rPr>
        <w:tab/>
        <w:t>71</w:t>
      </w:r>
    </w:p>
    <w:p w:rsidR="00250699" w:rsidRPr="002C2DDF" w:rsidRDefault="00EF380B" w:rsidP="002C2DDF">
      <w:pPr>
        <w:pStyle w:val="Tableofcontents20"/>
        <w:shd w:val="clear" w:color="auto" w:fill="auto"/>
        <w:spacing w:before="0" w:after="70" w:line="240" w:lineRule="auto"/>
        <w:jc w:val="center"/>
        <w:rPr>
          <w:sz w:val="20"/>
          <w:szCs w:val="20"/>
        </w:rPr>
      </w:pPr>
      <w:proofErr w:type="spellStart"/>
      <w:r w:rsidRPr="002C2DDF">
        <w:rPr>
          <w:rStyle w:val="Tableofcontents2ItalicSpacing0pt"/>
          <w:sz w:val="20"/>
          <w:szCs w:val="20"/>
        </w:rPr>
        <w:t>CapitolulIV</w:t>
      </w:r>
      <w:proofErr w:type="spellEnd"/>
      <w:r w:rsidRPr="002C2DDF">
        <w:rPr>
          <w:rStyle w:val="Tableofcontents2ItalicSpacing0pt"/>
          <w:sz w:val="20"/>
          <w:szCs w:val="20"/>
        </w:rPr>
        <w:t>.</w:t>
      </w:r>
      <w:r w:rsidRPr="002C2DDF">
        <w:rPr>
          <w:rStyle w:val="Tableofcontents2Spacing0pt"/>
          <w:sz w:val="20"/>
          <w:szCs w:val="20"/>
        </w:rPr>
        <w:t xml:space="preserve"> UTILIZAREA METODELOR DE STABILIRE A RATINGULUI </w:t>
      </w:r>
      <w:r w:rsidR="002C2DDF">
        <w:rPr>
          <w:rStyle w:val="Tableofcontents2Spacing0pt"/>
          <w:sz w:val="20"/>
          <w:szCs w:val="20"/>
        </w:rPr>
        <w:br/>
      </w:r>
      <w:r w:rsidRPr="002C2DDF">
        <w:rPr>
          <w:rStyle w:val="Tableofcontents2Spacing0pt"/>
          <w:sz w:val="20"/>
          <w:szCs w:val="20"/>
        </w:rPr>
        <w:t>ENTITĂŢII</w:t>
      </w:r>
      <w:r w:rsidR="002C2DDF">
        <w:rPr>
          <w:rStyle w:val="Tableofcontents2Spacing0pt"/>
          <w:sz w:val="20"/>
          <w:szCs w:val="20"/>
        </w:rPr>
        <w:t xml:space="preserve"> </w:t>
      </w:r>
      <w:r w:rsidRPr="002C2DDF">
        <w:rPr>
          <w:rStyle w:val="Tableofcontents2Spacing0pt"/>
          <w:sz w:val="20"/>
          <w:szCs w:val="20"/>
        </w:rPr>
        <w:t xml:space="preserve">ÎN ANALIZA STABILITĂŢII FINANCIARE </w:t>
      </w:r>
      <w:r w:rsidR="002C2DDF">
        <w:rPr>
          <w:rStyle w:val="Tableofcontents2Spacing0pt"/>
          <w:sz w:val="20"/>
          <w:szCs w:val="20"/>
        </w:rPr>
        <w:br/>
      </w:r>
      <w:r w:rsidRPr="002C2DDF">
        <w:rPr>
          <w:rStyle w:val="Tableofcontents2Spacing0pt"/>
          <w:sz w:val="20"/>
          <w:szCs w:val="20"/>
        </w:rPr>
        <w:t xml:space="preserve">ÎN SECTORUL CORPORATIV </w:t>
      </w:r>
      <w:r w:rsidRPr="002C2DDF">
        <w:rPr>
          <w:rStyle w:val="Tableofcontents2Spacing0pt"/>
          <w:sz w:val="20"/>
          <w:szCs w:val="20"/>
        </w:rPr>
        <w:tab/>
        <w:t>76</w:t>
      </w:r>
    </w:p>
    <w:p w:rsidR="00250699" w:rsidRPr="002C2DDF" w:rsidRDefault="00EF380B" w:rsidP="002C2DDF">
      <w:pPr>
        <w:pStyle w:val="Tableofcontents20"/>
        <w:numPr>
          <w:ilvl w:val="1"/>
          <w:numId w:val="3"/>
        </w:numPr>
        <w:shd w:val="clear" w:color="auto" w:fill="auto"/>
        <w:tabs>
          <w:tab w:val="left" w:pos="709"/>
          <w:tab w:val="right" w:leader="dot" w:pos="6823"/>
        </w:tabs>
        <w:spacing w:before="0" w:after="0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 xml:space="preserve">Analiza stabilităţii financiare pe baza metodei de credit </w:t>
      </w:r>
      <w:proofErr w:type="spellStart"/>
      <w:r w:rsidRPr="002C2DDF">
        <w:rPr>
          <w:rStyle w:val="Tableofcontents2Spacing0pt"/>
          <w:sz w:val="20"/>
          <w:szCs w:val="20"/>
        </w:rPr>
        <w:t>scoring</w:t>
      </w:r>
      <w:proofErr w:type="spellEnd"/>
      <w:r w:rsidRPr="002C2DDF">
        <w:rPr>
          <w:rStyle w:val="Tableofcontents2Spacing0pt"/>
          <w:sz w:val="20"/>
          <w:szCs w:val="20"/>
        </w:rPr>
        <w:tab/>
        <w:t>76</w:t>
      </w:r>
    </w:p>
    <w:p w:rsidR="00250699" w:rsidRPr="002C2DDF" w:rsidRDefault="00EF380B" w:rsidP="002C2DDF">
      <w:pPr>
        <w:pStyle w:val="Tableofcontents20"/>
        <w:numPr>
          <w:ilvl w:val="1"/>
          <w:numId w:val="3"/>
        </w:numPr>
        <w:shd w:val="clear" w:color="auto" w:fill="auto"/>
        <w:tabs>
          <w:tab w:val="left" w:pos="709"/>
          <w:tab w:val="right" w:leader="dot" w:pos="6823"/>
        </w:tabs>
        <w:spacing w:before="0" w:after="0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 xml:space="preserve">Analiza stabilităţii financiare pe baza modelului de </w:t>
      </w:r>
      <w:proofErr w:type="spellStart"/>
      <w:r w:rsidRPr="002C2DDF">
        <w:rPr>
          <w:rStyle w:val="Tableofcontents2Spacing0pt"/>
          <w:sz w:val="20"/>
          <w:szCs w:val="20"/>
        </w:rPr>
        <w:t>ratin</w:t>
      </w:r>
      <w:proofErr w:type="spellEnd"/>
      <w:r w:rsidRPr="002C2DDF">
        <w:rPr>
          <w:rStyle w:val="Tableofcontents2Spacing0pt"/>
          <w:sz w:val="20"/>
          <w:szCs w:val="20"/>
          <w:lang w:val="fr-CA"/>
        </w:rPr>
        <w:t xml:space="preserve">g </w:t>
      </w:r>
      <w:r w:rsidRPr="002C2DDF">
        <w:rPr>
          <w:rStyle w:val="Tableofcontents2Spacing0pt"/>
          <w:sz w:val="20"/>
          <w:szCs w:val="20"/>
        </w:rPr>
        <w:t>multidimensional</w:t>
      </w:r>
      <w:r w:rsidRPr="002C2DDF">
        <w:rPr>
          <w:rStyle w:val="Tableofcontents2Spacing0pt"/>
          <w:sz w:val="20"/>
          <w:szCs w:val="20"/>
        </w:rPr>
        <w:tab/>
        <w:t>78</w:t>
      </w:r>
    </w:p>
    <w:p w:rsidR="00250699" w:rsidRPr="002C2DDF" w:rsidRDefault="00EF380B" w:rsidP="002C2DDF">
      <w:pPr>
        <w:pStyle w:val="Tableofcontents20"/>
        <w:numPr>
          <w:ilvl w:val="1"/>
          <w:numId w:val="3"/>
        </w:numPr>
        <w:shd w:val="clear" w:color="auto" w:fill="auto"/>
        <w:tabs>
          <w:tab w:val="left" w:pos="709"/>
          <w:tab w:val="right" w:leader="dot" w:pos="6823"/>
        </w:tabs>
        <w:spacing w:before="0" w:after="0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Analiza stabilităţii financiare pe baza procedeului indicatorului sintetic</w:t>
      </w:r>
      <w:r w:rsidRPr="002C2DDF">
        <w:rPr>
          <w:rStyle w:val="Tableofcontents2Spacing0pt"/>
          <w:sz w:val="20"/>
          <w:szCs w:val="20"/>
        </w:rPr>
        <w:tab/>
        <w:t>80</w:t>
      </w:r>
    </w:p>
    <w:p w:rsidR="00250699" w:rsidRPr="002C2DDF" w:rsidRDefault="00EF380B" w:rsidP="002C2DDF">
      <w:pPr>
        <w:pStyle w:val="Tableofcontents20"/>
        <w:numPr>
          <w:ilvl w:val="1"/>
          <w:numId w:val="3"/>
        </w:numPr>
        <w:shd w:val="clear" w:color="auto" w:fill="auto"/>
        <w:tabs>
          <w:tab w:val="left" w:pos="709"/>
          <w:tab w:val="right" w:leader="dot" w:pos="6823"/>
        </w:tabs>
        <w:spacing w:before="0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 xml:space="preserve">Analiza stabilităţii financiare pe baza procedeului indicatorului integral </w:t>
      </w:r>
      <w:r w:rsidRPr="002C2DDF">
        <w:rPr>
          <w:rStyle w:val="Tableofcontents2Spacing0pt"/>
          <w:sz w:val="20"/>
          <w:szCs w:val="20"/>
        </w:rPr>
        <w:tab/>
        <w:t>84</w:t>
      </w:r>
    </w:p>
    <w:p w:rsidR="002C2DDF" w:rsidRDefault="002C2DDF" w:rsidP="002C2DDF">
      <w:pPr>
        <w:pStyle w:val="Tableofcontents20"/>
        <w:shd w:val="clear" w:color="auto" w:fill="auto"/>
        <w:spacing w:before="0" w:after="0" w:line="240" w:lineRule="auto"/>
        <w:jc w:val="center"/>
        <w:rPr>
          <w:rStyle w:val="Tableofcontents2ItalicSpacing0pt"/>
          <w:sz w:val="20"/>
          <w:szCs w:val="20"/>
        </w:rPr>
      </w:pPr>
    </w:p>
    <w:p w:rsidR="002C2DDF" w:rsidRDefault="002C2DDF" w:rsidP="002C2DDF">
      <w:pPr>
        <w:pStyle w:val="Tableofcontents20"/>
        <w:shd w:val="clear" w:color="auto" w:fill="auto"/>
        <w:spacing w:before="0" w:after="0" w:line="240" w:lineRule="auto"/>
        <w:jc w:val="center"/>
        <w:rPr>
          <w:rStyle w:val="Tableofcontents2ItalicSpacing0pt"/>
          <w:sz w:val="20"/>
          <w:szCs w:val="20"/>
        </w:rPr>
      </w:pPr>
    </w:p>
    <w:p w:rsidR="00250699" w:rsidRPr="002C2DDF" w:rsidRDefault="00EF380B" w:rsidP="002C2DDF">
      <w:pPr>
        <w:pStyle w:val="Tableofcontents2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proofErr w:type="spellStart"/>
      <w:r w:rsidRPr="002C2DDF">
        <w:rPr>
          <w:rStyle w:val="Tableofcontents2ItalicSpacing0pt"/>
          <w:sz w:val="20"/>
          <w:szCs w:val="20"/>
        </w:rPr>
        <w:lastRenderedPageBreak/>
        <w:t>CapitolulV</w:t>
      </w:r>
      <w:proofErr w:type="spellEnd"/>
      <w:r w:rsidRPr="002C2DDF">
        <w:rPr>
          <w:rStyle w:val="Tableofcontents2ItalicSpacing0pt"/>
          <w:sz w:val="20"/>
          <w:szCs w:val="20"/>
        </w:rPr>
        <w:t>.</w:t>
      </w:r>
      <w:r w:rsidRPr="002C2DDF">
        <w:rPr>
          <w:rStyle w:val="Tableofcontents2Spacing0pt"/>
          <w:sz w:val="20"/>
          <w:szCs w:val="20"/>
        </w:rPr>
        <w:t xml:space="preserve"> ELABORAREA Şl APLICAREA MODELULUI DINAMIC DE STABILITATE DESTINAT ANALIZEI Şl EVALUĂRII RISCULUI DE REDUCERE</w:t>
      </w:r>
    </w:p>
    <w:p w:rsidR="00250699" w:rsidRPr="002C2DDF" w:rsidRDefault="00EF380B" w:rsidP="002C2DDF">
      <w:pPr>
        <w:pStyle w:val="Tableofcontents20"/>
        <w:shd w:val="clear" w:color="auto" w:fill="auto"/>
        <w:tabs>
          <w:tab w:val="right" w:leader="dot" w:pos="6823"/>
        </w:tabs>
        <w:spacing w:before="0" w:line="240" w:lineRule="auto"/>
        <w:ind w:left="86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 xml:space="preserve">A STABILITĂŢII FINANCIARE ÎN SECTORUL CORPORATIV </w:t>
      </w:r>
      <w:r w:rsidRPr="002C2DDF">
        <w:rPr>
          <w:rStyle w:val="Tableofcontents2Spacing0pt"/>
          <w:sz w:val="20"/>
          <w:szCs w:val="20"/>
        </w:rPr>
        <w:tab/>
        <w:t>90</w:t>
      </w:r>
    </w:p>
    <w:p w:rsidR="00250699" w:rsidRPr="002C2DDF" w:rsidRDefault="00EF380B" w:rsidP="002C2DDF">
      <w:pPr>
        <w:pStyle w:val="Tableofcontents20"/>
        <w:numPr>
          <w:ilvl w:val="0"/>
          <w:numId w:val="4"/>
        </w:numPr>
        <w:shd w:val="clear" w:color="auto" w:fill="auto"/>
        <w:tabs>
          <w:tab w:val="left" w:pos="709"/>
          <w:tab w:val="right" w:leader="dot" w:pos="6823"/>
        </w:tabs>
        <w:spacing w:before="0" w:after="0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Esenţa modelului dinamic de stabilitate</w:t>
      </w:r>
      <w:r w:rsidRPr="002C2DDF">
        <w:rPr>
          <w:rStyle w:val="Tableofcontents2Spacing0pt"/>
          <w:sz w:val="20"/>
          <w:szCs w:val="20"/>
        </w:rPr>
        <w:tab/>
        <w:t>90</w:t>
      </w:r>
    </w:p>
    <w:p w:rsidR="00250699" w:rsidRPr="002C2DDF" w:rsidRDefault="00EF380B" w:rsidP="002C2DDF">
      <w:pPr>
        <w:pStyle w:val="Tableofcontents20"/>
        <w:numPr>
          <w:ilvl w:val="0"/>
          <w:numId w:val="4"/>
        </w:numPr>
        <w:shd w:val="clear" w:color="auto" w:fill="auto"/>
        <w:tabs>
          <w:tab w:val="left" w:pos="581"/>
        </w:tabs>
        <w:spacing w:before="0" w:after="122" w:line="240" w:lineRule="auto"/>
        <w:ind w:left="58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Utilizarea modelului dinamic de stabilitate în procesul analizei şi evaluării riscului de</w:t>
      </w:r>
      <w:r w:rsidR="002C2DDF" w:rsidRPr="002C2DDF">
        <w:rPr>
          <w:rStyle w:val="Tableofcontents2Spacing0pt"/>
          <w:sz w:val="20"/>
          <w:szCs w:val="20"/>
        </w:rPr>
        <w:t xml:space="preserve"> </w:t>
      </w:r>
      <w:r w:rsidRPr="002C2DDF">
        <w:rPr>
          <w:rStyle w:val="Tableofcontents2Spacing0pt"/>
          <w:sz w:val="20"/>
          <w:szCs w:val="20"/>
        </w:rPr>
        <w:t>reducere a stabilităţii financiare</w:t>
      </w:r>
      <w:r w:rsidRPr="002C2DDF">
        <w:rPr>
          <w:rStyle w:val="Tableofcontents2Spacing0pt"/>
          <w:sz w:val="20"/>
          <w:szCs w:val="20"/>
        </w:rPr>
        <w:tab/>
        <w:t>97</w:t>
      </w:r>
    </w:p>
    <w:p w:rsidR="00250699" w:rsidRPr="002C2DDF" w:rsidRDefault="00EF380B" w:rsidP="002C2DDF">
      <w:pPr>
        <w:pStyle w:val="Tableofcontents20"/>
        <w:shd w:val="clear" w:color="auto" w:fill="auto"/>
        <w:spacing w:before="0" w:after="55" w:line="240" w:lineRule="auto"/>
        <w:jc w:val="left"/>
        <w:rPr>
          <w:sz w:val="20"/>
          <w:szCs w:val="20"/>
        </w:rPr>
      </w:pPr>
      <w:proofErr w:type="spellStart"/>
      <w:r w:rsidRPr="002C2DDF">
        <w:rPr>
          <w:rStyle w:val="Tableofcontents2ItalicSpacing0pt"/>
          <w:sz w:val="20"/>
          <w:szCs w:val="20"/>
        </w:rPr>
        <w:t>CapitolulVI</w:t>
      </w:r>
      <w:proofErr w:type="spellEnd"/>
      <w:r w:rsidRPr="002C2DDF">
        <w:rPr>
          <w:rStyle w:val="Tableofcontents2ItalicSpacing0pt"/>
          <w:sz w:val="20"/>
          <w:szCs w:val="20"/>
        </w:rPr>
        <w:t>.</w:t>
      </w:r>
      <w:r w:rsidRPr="002C2DDF">
        <w:rPr>
          <w:rStyle w:val="Tableofcontents2Spacing0pt"/>
          <w:sz w:val="20"/>
          <w:szCs w:val="20"/>
        </w:rPr>
        <w:t xml:space="preserve"> ANALIZA IMPACTULUI FACTORILOR MACROMEDIULUI</w:t>
      </w:r>
    </w:p>
    <w:p w:rsidR="00250699" w:rsidRPr="002C2DDF" w:rsidRDefault="00EF380B" w:rsidP="002C2DDF">
      <w:pPr>
        <w:pStyle w:val="Tableofcontents20"/>
        <w:shd w:val="clear" w:color="auto" w:fill="auto"/>
        <w:tabs>
          <w:tab w:val="right" w:leader="dot" w:pos="6823"/>
        </w:tabs>
        <w:spacing w:before="0" w:after="0" w:line="240" w:lineRule="auto"/>
        <w:ind w:left="86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ASUPRA INSOLVENŢELOR CORPORATIVE</w:t>
      </w:r>
      <w:r w:rsidRPr="002C2DDF">
        <w:rPr>
          <w:rStyle w:val="Tableofcontents2Spacing0pt"/>
          <w:sz w:val="20"/>
          <w:szCs w:val="20"/>
        </w:rPr>
        <w:tab/>
        <w:t>117</w:t>
      </w:r>
    </w:p>
    <w:p w:rsidR="00250699" w:rsidRPr="002C2DDF" w:rsidRDefault="00EF380B" w:rsidP="002C2DDF">
      <w:pPr>
        <w:pStyle w:val="Tableofcontents20"/>
        <w:numPr>
          <w:ilvl w:val="0"/>
          <w:numId w:val="5"/>
        </w:numPr>
        <w:shd w:val="clear" w:color="auto" w:fill="auto"/>
        <w:tabs>
          <w:tab w:val="left" w:pos="581"/>
        </w:tabs>
        <w:spacing w:before="0" w:after="0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Impactul corupţiei, a creşterii economice şi a calităţii guvernanţei publice asupra</w:t>
      </w:r>
    </w:p>
    <w:p w:rsidR="00250699" w:rsidRPr="002C2DDF" w:rsidRDefault="00EF380B" w:rsidP="002C2DDF">
      <w:pPr>
        <w:pStyle w:val="Tableofcontents20"/>
        <w:shd w:val="clear" w:color="auto" w:fill="auto"/>
        <w:tabs>
          <w:tab w:val="right" w:leader="dot" w:pos="6823"/>
        </w:tabs>
        <w:spacing w:before="0" w:after="0" w:line="240" w:lineRule="auto"/>
        <w:ind w:left="58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insolvenţelor corporative în ţările Europei Centrale şi de Est</w:t>
      </w:r>
      <w:r w:rsidRPr="002C2DDF">
        <w:rPr>
          <w:rStyle w:val="Tableofcontents2Spacing0pt"/>
          <w:sz w:val="20"/>
          <w:szCs w:val="20"/>
        </w:rPr>
        <w:tab/>
        <w:t>117</w:t>
      </w:r>
    </w:p>
    <w:p w:rsidR="00250699" w:rsidRPr="002C2DDF" w:rsidRDefault="00EF380B" w:rsidP="002C2DDF">
      <w:pPr>
        <w:pStyle w:val="Tableofcontents20"/>
        <w:numPr>
          <w:ilvl w:val="0"/>
          <w:numId w:val="5"/>
        </w:numPr>
        <w:shd w:val="clear" w:color="auto" w:fill="auto"/>
        <w:tabs>
          <w:tab w:val="left" w:pos="709"/>
          <w:tab w:val="right" w:leader="dot" w:pos="6823"/>
        </w:tabs>
        <w:spacing w:before="0" w:after="14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 xml:space="preserve">Impactul politicilor fiscale asupra insolvenţelor corporative </w:t>
      </w:r>
      <w:r w:rsidR="002C2DDF">
        <w:rPr>
          <w:rStyle w:val="Tableofcontents2Spacing0pt"/>
          <w:sz w:val="20"/>
          <w:szCs w:val="20"/>
        </w:rPr>
        <w:br/>
      </w:r>
      <w:r w:rsidRPr="002C2DDF">
        <w:rPr>
          <w:rStyle w:val="Tableofcontents2Spacing0pt"/>
          <w:sz w:val="20"/>
          <w:szCs w:val="20"/>
        </w:rPr>
        <w:t xml:space="preserve">în Europa </w:t>
      </w:r>
      <w:r w:rsidRPr="002C2DDF">
        <w:rPr>
          <w:rStyle w:val="Tableofcontents2Spacing0pt"/>
          <w:sz w:val="20"/>
          <w:szCs w:val="20"/>
        </w:rPr>
        <w:tab/>
        <w:t>128</w:t>
      </w:r>
    </w:p>
    <w:p w:rsidR="00250699" w:rsidRPr="002C2DDF" w:rsidRDefault="00EF380B" w:rsidP="002C2DDF">
      <w:pPr>
        <w:pStyle w:val="Tableofcontents20"/>
        <w:shd w:val="clear" w:color="auto" w:fill="auto"/>
        <w:tabs>
          <w:tab w:val="right" w:leader="dot" w:pos="6823"/>
        </w:tabs>
        <w:spacing w:before="0" w:after="0" w:line="240" w:lineRule="auto"/>
        <w:ind w:left="300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LISTA ABREVIERILOR</w:t>
      </w:r>
      <w:r w:rsidRPr="002C2DDF">
        <w:rPr>
          <w:rStyle w:val="Tableofcontents2Spacing0pt"/>
          <w:sz w:val="20"/>
          <w:szCs w:val="20"/>
        </w:rPr>
        <w:tab/>
        <w:t>134</w:t>
      </w:r>
    </w:p>
    <w:p w:rsidR="00250699" w:rsidRPr="002C2DDF" w:rsidRDefault="00EF380B" w:rsidP="002C2DDF">
      <w:pPr>
        <w:pStyle w:val="Tableofcontents20"/>
        <w:shd w:val="clear" w:color="auto" w:fill="auto"/>
        <w:tabs>
          <w:tab w:val="right" w:leader="dot" w:pos="6523"/>
        </w:tabs>
        <w:spacing w:before="0" w:after="0" w:line="240" w:lineRule="auto"/>
        <w:rPr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BIBLIOGRAFIE</w:t>
      </w:r>
      <w:r w:rsidRPr="002C2DDF">
        <w:rPr>
          <w:rStyle w:val="Tableofcontents2Spacing0pt"/>
          <w:sz w:val="20"/>
          <w:szCs w:val="20"/>
        </w:rPr>
        <w:tab/>
        <w:t>136</w:t>
      </w:r>
    </w:p>
    <w:p w:rsidR="00250699" w:rsidRDefault="00EF380B" w:rsidP="002C2DDF">
      <w:pPr>
        <w:pStyle w:val="Tableofcontents20"/>
        <w:shd w:val="clear" w:color="auto" w:fill="auto"/>
        <w:tabs>
          <w:tab w:val="right" w:leader="dot" w:pos="6523"/>
        </w:tabs>
        <w:spacing w:before="0" w:after="0" w:line="240" w:lineRule="auto"/>
        <w:rPr>
          <w:rStyle w:val="Tableofcontents2Spacing0pt"/>
          <w:sz w:val="20"/>
          <w:szCs w:val="20"/>
        </w:rPr>
      </w:pPr>
      <w:r w:rsidRPr="002C2DDF">
        <w:rPr>
          <w:rStyle w:val="Tableofcontents2Spacing0pt"/>
          <w:sz w:val="20"/>
          <w:szCs w:val="20"/>
        </w:rPr>
        <w:t>ANEXE</w:t>
      </w:r>
      <w:r w:rsidRPr="002C2DDF">
        <w:rPr>
          <w:rStyle w:val="Tableofcontents2Spacing0pt"/>
          <w:sz w:val="20"/>
          <w:szCs w:val="20"/>
        </w:rPr>
        <w:tab/>
        <w:t>149</w:t>
      </w:r>
    </w:p>
    <w:p w:rsidR="002C2DDF" w:rsidRDefault="002C2DDF" w:rsidP="002C2DDF">
      <w:pPr>
        <w:pStyle w:val="Tableofcontents20"/>
        <w:shd w:val="clear" w:color="auto" w:fill="auto"/>
        <w:tabs>
          <w:tab w:val="right" w:leader="dot" w:pos="6523"/>
        </w:tabs>
        <w:spacing w:before="0" w:after="0" w:line="240" w:lineRule="auto"/>
        <w:rPr>
          <w:rStyle w:val="Tableofcontents2Spacing0pt"/>
          <w:sz w:val="20"/>
          <w:szCs w:val="20"/>
        </w:rPr>
      </w:pPr>
    </w:p>
    <w:p w:rsidR="002C2DDF" w:rsidRDefault="002C2DDF" w:rsidP="002C2DDF">
      <w:pPr>
        <w:pStyle w:val="Tableofcontents20"/>
        <w:shd w:val="clear" w:color="auto" w:fill="auto"/>
        <w:tabs>
          <w:tab w:val="right" w:leader="dot" w:pos="6523"/>
        </w:tabs>
        <w:spacing w:before="0" w:after="0" w:line="240" w:lineRule="auto"/>
        <w:rPr>
          <w:rStyle w:val="Tableofcontents2Spacing0pt"/>
          <w:sz w:val="20"/>
          <w:szCs w:val="20"/>
        </w:rPr>
      </w:pPr>
    </w:p>
    <w:p w:rsidR="002C2DDF" w:rsidRDefault="002C2DDF" w:rsidP="002C2DDF">
      <w:pPr>
        <w:autoSpaceDN w:val="0"/>
        <w:spacing w:before="100" w:beforeAutospacing="1" w:after="100" w:afterAutospacing="1"/>
        <w:ind w:left="142" w:hanging="142"/>
        <w:contextualSpacing/>
        <w:rPr>
          <w:rFonts w:ascii="Arial" w:eastAsia="Book Antiqua" w:hAnsi="Arial" w:cs="Arial"/>
          <w:sz w:val="20"/>
          <w:szCs w:val="20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4B34BE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Analiza</w:t>
      </w:r>
      <w:r w:rsidR="004B34B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stabilităţii</w:t>
      </w:r>
      <w:r w:rsidR="004B34B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financiare</w:t>
      </w:r>
      <w:r w:rsidR="004B34B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în</w:t>
      </w:r>
      <w:r w:rsidR="004B34B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sectorul</w:t>
      </w:r>
      <w:r w:rsidR="004B34B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corporativ:</w:t>
      </w:r>
      <w:r w:rsidR="004B34B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Monografie.</w:t>
      </w:r>
    </w:p>
    <w:p w:rsidR="002C2DDF" w:rsidRPr="002C6E95" w:rsidRDefault="002C2DDF" w:rsidP="002C2DDF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4B34BE">
        <w:rPr>
          <w:rFonts w:ascii="Arial" w:eastAsia="SimSun" w:hAnsi="Arial" w:cs="Arial"/>
          <w:lang w:val="es-ES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Muntean</w:t>
      </w:r>
      <w:r w:rsidR="004B34BE">
        <w:rPr>
          <w:rFonts w:ascii="Arial" w:eastAsia="Book Antiqu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Neli</w:t>
      </w:r>
      <w:proofErr w:type="spellEnd"/>
    </w:p>
    <w:p w:rsidR="002C2DDF" w:rsidRPr="002C6E95" w:rsidRDefault="002C2DDF" w:rsidP="002C2DDF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4B34BE">
        <w:rPr>
          <w:rFonts w:ascii="Arial" w:eastAsia="SimSun" w:hAnsi="Arial" w:cs="Arial"/>
          <w:b/>
          <w:bCs/>
          <w:lang w:val="it-IT" w:eastAsia="zh-CN"/>
        </w:rPr>
        <w:t xml:space="preserve"> </w:t>
      </w:r>
      <w:r w:rsidRPr="00367C85">
        <w:rPr>
          <w:rFonts w:ascii="Arial" w:eastAsia="SimSun" w:hAnsi="Arial" w:cs="Arial"/>
          <w:bCs/>
          <w:sz w:val="20"/>
          <w:szCs w:val="20"/>
          <w:lang w:val="fr-CA" w:eastAsia="zh-CN"/>
        </w:rPr>
        <w:t>[</w:t>
      </w:r>
      <w:r>
        <w:rPr>
          <w:rFonts w:ascii="Arial" w:eastAsia="Book Antiqua" w:hAnsi="Arial" w:cs="Arial"/>
          <w:sz w:val="20"/>
          <w:szCs w:val="20"/>
        </w:rPr>
        <w:t>Chişinău]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:</w:t>
      </w:r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Cartier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2019</w:t>
      </w:r>
    </w:p>
    <w:p w:rsidR="002C2DDF" w:rsidRPr="002C6E95" w:rsidRDefault="002C2DDF" w:rsidP="002C2DDF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4B34BE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  <w:lang w:val="fr-CA"/>
        </w:rPr>
        <w:t>658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,</w:t>
      </w:r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</w:t>
      </w:r>
      <w:r w:rsidR="004B34BE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-</w:t>
      </w:r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95</w:t>
      </w:r>
    </w:p>
    <w:p w:rsidR="002C2DDF" w:rsidRPr="002C6E95" w:rsidRDefault="002C2DDF" w:rsidP="002C2DDF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4B34BE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Sala</w:t>
      </w:r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de</w:t>
      </w:r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lectură</w:t>
      </w:r>
      <w:proofErr w:type="spellEnd"/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Nr.1</w:t>
      </w:r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(3</w:t>
      </w:r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ex.),</w:t>
      </w:r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Împrumut</w:t>
      </w:r>
      <w:proofErr w:type="spellEnd"/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(41</w:t>
      </w:r>
      <w:r w:rsidR="004B34BE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2C2DDF" w:rsidRPr="00367C85" w:rsidRDefault="002C2DDF" w:rsidP="002C2DDF">
      <w:pPr>
        <w:autoSpaceDN w:val="0"/>
        <w:spacing w:after="240"/>
        <w:rPr>
          <w:rFonts w:ascii="Arial" w:eastAsia="SimSun" w:hAnsi="Arial" w:cs="Arial"/>
          <w:lang w:val="ru-RU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fr-CA" w:eastAsia="zh-CN"/>
        </w:rPr>
        <w:t>Cuprins</w:t>
      </w:r>
      <w:proofErr w:type="spellEnd"/>
      <w:r w:rsidRPr="00367C85">
        <w:rPr>
          <w:rFonts w:ascii="Arial" w:eastAsia="SimSun" w:hAnsi="Arial" w:cs="Arial"/>
          <w:b/>
          <w:bCs/>
          <w:lang w:val="ru-RU" w:eastAsia="zh-CN"/>
        </w:rPr>
        <w:t>:</w:t>
      </w:r>
      <w:r w:rsidR="004B34BE">
        <w:rPr>
          <w:rFonts w:ascii="Arial" w:eastAsia="SimSun" w:hAnsi="Arial" w:cs="Arial"/>
          <w:lang w:val="ru-RU" w:eastAsia="zh-CN"/>
        </w:rPr>
        <w:t xml:space="preserve"> </w:t>
      </w:r>
      <w:r w:rsidR="004B34BE">
        <w:rPr>
          <w:rFonts w:ascii="Arial" w:eastAsia="SimSun" w:hAnsi="Arial" w:cs="Arial"/>
          <w:lang w:val="fr-CA" w:eastAsia="zh-CN"/>
        </w:rPr>
        <w:t xml:space="preserve"> </w:t>
      </w:r>
    </w:p>
    <w:p w:rsidR="002C2DDF" w:rsidRPr="002C2DDF" w:rsidRDefault="002C2DDF" w:rsidP="002C2DDF">
      <w:pPr>
        <w:pStyle w:val="Tableofcontents20"/>
        <w:shd w:val="clear" w:color="auto" w:fill="auto"/>
        <w:tabs>
          <w:tab w:val="right" w:leader="dot" w:pos="6523"/>
        </w:tabs>
        <w:spacing w:before="0" w:after="0" w:line="240" w:lineRule="auto"/>
        <w:rPr>
          <w:sz w:val="20"/>
          <w:szCs w:val="20"/>
        </w:rPr>
      </w:pPr>
    </w:p>
    <w:p w:rsidR="00250699" w:rsidRDefault="00250699">
      <w:pPr>
        <w:rPr>
          <w:sz w:val="2"/>
          <w:szCs w:val="2"/>
        </w:rPr>
      </w:pPr>
      <w:bookmarkStart w:id="1" w:name="_GoBack"/>
      <w:bookmarkEnd w:id="1"/>
    </w:p>
    <w:sectPr w:rsidR="00250699" w:rsidSect="002C2DDF">
      <w:pgSz w:w="8391" w:h="11906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B6" w:rsidRDefault="00BF28B6">
      <w:r>
        <w:separator/>
      </w:r>
    </w:p>
  </w:endnote>
  <w:endnote w:type="continuationSeparator" w:id="0">
    <w:p w:rsidR="00BF28B6" w:rsidRDefault="00BF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B6" w:rsidRDefault="00BF28B6"/>
  </w:footnote>
  <w:footnote w:type="continuationSeparator" w:id="0">
    <w:p w:rsidR="00BF28B6" w:rsidRDefault="00BF28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0D4"/>
    <w:multiLevelType w:val="multilevel"/>
    <w:tmpl w:val="88302248"/>
    <w:lvl w:ilvl="0">
      <w:start w:val="1"/>
      <w:numFmt w:val="decimal"/>
      <w:lvlText w:val="2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F7BB4"/>
    <w:multiLevelType w:val="multilevel"/>
    <w:tmpl w:val="DCAC5366"/>
    <w:lvl w:ilvl="0">
      <w:start w:val="1"/>
      <w:numFmt w:val="decimal"/>
      <w:lvlText w:val="1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F424A"/>
    <w:multiLevelType w:val="multilevel"/>
    <w:tmpl w:val="8EBEAEAA"/>
    <w:lvl w:ilvl="0">
      <w:start w:val="1"/>
      <w:numFmt w:val="decimal"/>
      <w:lvlText w:val="5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A483F"/>
    <w:multiLevelType w:val="multilevel"/>
    <w:tmpl w:val="8F926B96"/>
    <w:lvl w:ilvl="0">
      <w:start w:val="1"/>
      <w:numFmt w:val="decimal"/>
      <w:lvlText w:val="6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7F7F01"/>
    <w:multiLevelType w:val="multilevel"/>
    <w:tmpl w:val="B9C08028"/>
    <w:lvl w:ilvl="0">
      <w:start w:val="1"/>
      <w:numFmt w:val="decimal"/>
      <w:lvlText w:val="3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99"/>
    <w:rsid w:val="00250699"/>
    <w:rsid w:val="002C2DDF"/>
    <w:rsid w:val="004B34BE"/>
    <w:rsid w:val="00BF28B6"/>
    <w:rsid w:val="00E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8">
    <w:name w:val="Heading #18_"/>
    <w:basedOn w:val="DefaultParagraphFont"/>
    <w:link w:val="Heading18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2"/>
      <w:sz w:val="22"/>
      <w:szCs w:val="22"/>
      <w:u w:val="none"/>
    </w:rPr>
  </w:style>
  <w:style w:type="character" w:customStyle="1" w:styleId="Tableofcontents2">
    <w:name w:val="Table of contents (2)_"/>
    <w:basedOn w:val="DefaultParagraphFont"/>
    <w:link w:val="Tableofcontents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Tableofcontents2Spacing0pt">
    <w:name w:val="Table of contents (2) + Spacing 0 pt"/>
    <w:basedOn w:val="Tableofcontents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lang w:val="ro-RO"/>
    </w:rPr>
  </w:style>
  <w:style w:type="character" w:customStyle="1" w:styleId="Tableofcontents2ItalicSpacing0pt">
    <w:name w:val="Table of contents (2) + Italic;Spacing 0 pt"/>
    <w:basedOn w:val="Tableofcontents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"/>
      <w:w w:val="100"/>
      <w:position w:val="0"/>
      <w:sz w:val="12"/>
      <w:szCs w:val="12"/>
      <w:u w:val="none"/>
      <w:lang w:val="ro-RO"/>
    </w:rPr>
  </w:style>
  <w:style w:type="paragraph" w:customStyle="1" w:styleId="Heading180">
    <w:name w:val="Heading #18"/>
    <w:basedOn w:val="Normal"/>
    <w:link w:val="Heading18"/>
    <w:pPr>
      <w:shd w:val="clear" w:color="auto" w:fill="FFFFFF"/>
      <w:spacing w:after="780" w:line="0" w:lineRule="atLeast"/>
      <w:jc w:val="both"/>
    </w:pPr>
    <w:rPr>
      <w:rFonts w:ascii="Segoe UI" w:eastAsia="Segoe UI" w:hAnsi="Segoe UI" w:cs="Segoe UI"/>
      <w:spacing w:val="22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pPr>
      <w:shd w:val="clear" w:color="auto" w:fill="FFFFFF"/>
      <w:spacing w:before="360" w:after="60" w:line="0" w:lineRule="atLeast"/>
      <w:jc w:val="both"/>
    </w:pPr>
    <w:rPr>
      <w:rFonts w:ascii="Segoe UI" w:eastAsia="Segoe UI" w:hAnsi="Segoe UI" w:cs="Segoe UI"/>
      <w:spacing w:val="5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8">
    <w:name w:val="Heading #18_"/>
    <w:basedOn w:val="DefaultParagraphFont"/>
    <w:link w:val="Heading18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2"/>
      <w:sz w:val="22"/>
      <w:szCs w:val="22"/>
      <w:u w:val="none"/>
    </w:rPr>
  </w:style>
  <w:style w:type="character" w:customStyle="1" w:styleId="Tableofcontents2">
    <w:name w:val="Table of contents (2)_"/>
    <w:basedOn w:val="DefaultParagraphFont"/>
    <w:link w:val="Tableofcontents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Tableofcontents2Spacing0pt">
    <w:name w:val="Table of contents (2) + Spacing 0 pt"/>
    <w:basedOn w:val="Tableofcontents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lang w:val="ro-RO"/>
    </w:rPr>
  </w:style>
  <w:style w:type="character" w:customStyle="1" w:styleId="Tableofcontents2ItalicSpacing0pt">
    <w:name w:val="Table of contents (2) + Italic;Spacing 0 pt"/>
    <w:basedOn w:val="Tableofcontents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"/>
      <w:w w:val="100"/>
      <w:position w:val="0"/>
      <w:sz w:val="12"/>
      <w:szCs w:val="12"/>
      <w:u w:val="none"/>
      <w:lang w:val="ro-RO"/>
    </w:rPr>
  </w:style>
  <w:style w:type="paragraph" w:customStyle="1" w:styleId="Heading180">
    <w:name w:val="Heading #18"/>
    <w:basedOn w:val="Normal"/>
    <w:link w:val="Heading18"/>
    <w:pPr>
      <w:shd w:val="clear" w:color="auto" w:fill="FFFFFF"/>
      <w:spacing w:after="780" w:line="0" w:lineRule="atLeast"/>
      <w:jc w:val="both"/>
    </w:pPr>
    <w:rPr>
      <w:rFonts w:ascii="Segoe UI" w:eastAsia="Segoe UI" w:hAnsi="Segoe UI" w:cs="Segoe UI"/>
      <w:spacing w:val="22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pPr>
      <w:shd w:val="clear" w:color="auto" w:fill="FFFFFF"/>
      <w:spacing w:before="360" w:after="60" w:line="0" w:lineRule="atLeast"/>
      <w:jc w:val="both"/>
    </w:pPr>
    <w:rPr>
      <w:rFonts w:ascii="Segoe UI" w:eastAsia="Segoe UI" w:hAnsi="Segoe UI" w:cs="Segoe UI"/>
      <w:spacing w:val="5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2020-09-22T09:41:00Z</dcterms:created>
  <dcterms:modified xsi:type="dcterms:W3CDTF">2020-09-23T05:13:00Z</dcterms:modified>
</cp:coreProperties>
</file>