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40" w:rsidRDefault="00D87840">
      <w:pPr>
        <w:rPr>
          <w:rFonts w:ascii="Sylfaen" w:eastAsia="Sylfaen" w:hAnsi="Sylfaen" w:cs="Sylfaen"/>
          <w:spacing w:val="3"/>
          <w:sz w:val="20"/>
          <w:szCs w:val="20"/>
        </w:rPr>
      </w:pPr>
      <w:bookmarkStart w:id="0" w:name="bookmark0"/>
      <w:r>
        <w:rPr>
          <w:noProof/>
          <w:sz w:val="20"/>
          <w:szCs w:val="20"/>
          <w:lang w:val="ru-RU"/>
        </w:rPr>
        <w:drawing>
          <wp:inline distT="0" distB="0" distL="0" distR="0">
            <wp:extent cx="4338084" cy="6081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4" b="2327"/>
                    <a:stretch/>
                  </pic:blipFill>
                  <pic:spPr bwMode="auto">
                    <a:xfrm>
                      <a:off x="0" y="0"/>
                      <a:ext cx="4342133" cy="6087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 w:type="page"/>
      </w:r>
    </w:p>
    <w:p w:rsidR="00A25F84" w:rsidRPr="00D87840" w:rsidRDefault="00F131DC" w:rsidP="00D87840">
      <w:pPr>
        <w:pStyle w:val="Heading3120"/>
        <w:shd w:val="clear" w:color="auto" w:fill="auto"/>
        <w:spacing w:after="400" w:line="150" w:lineRule="exact"/>
        <w:ind w:left="23"/>
        <w:rPr>
          <w:sz w:val="20"/>
          <w:szCs w:val="20"/>
        </w:rPr>
      </w:pPr>
      <w:r w:rsidRPr="00D87840">
        <w:rPr>
          <w:sz w:val="20"/>
          <w:szCs w:val="20"/>
        </w:rPr>
        <w:lastRenderedPageBreak/>
        <w:t>CUPRINS</w:t>
      </w:r>
      <w:bookmarkEnd w:id="0"/>
    </w:p>
    <w:p w:rsidR="00A25F84" w:rsidRPr="00D87840" w:rsidRDefault="00F131DC" w:rsidP="00D87840">
      <w:pPr>
        <w:pStyle w:val="Tableofcontents190"/>
        <w:shd w:val="clear" w:color="auto" w:fill="auto"/>
        <w:tabs>
          <w:tab w:val="right" w:leader="dot" w:pos="5677"/>
        </w:tabs>
        <w:spacing w:before="0" w:after="24" w:line="200" w:lineRule="exact"/>
        <w:rPr>
          <w:sz w:val="20"/>
          <w:szCs w:val="20"/>
        </w:rPr>
      </w:pPr>
      <w:r w:rsidRPr="00D87840">
        <w:rPr>
          <w:rStyle w:val="Tableofcontents19Spacing0pt"/>
          <w:i/>
          <w:iCs/>
          <w:sz w:val="20"/>
          <w:szCs w:val="20"/>
        </w:rPr>
        <w:t>Introducere</w:t>
      </w:r>
      <w:r w:rsidRPr="00D87840">
        <w:rPr>
          <w:rStyle w:val="Tableofcontents1910ptNotItalicSpacing0pt"/>
        </w:rPr>
        <w:tab/>
      </w:r>
      <w:r w:rsidRPr="00D87840">
        <w:rPr>
          <w:rStyle w:val="Tableofcontents1975ptNotItalicSpacing0pt"/>
          <w:sz w:val="20"/>
          <w:szCs w:val="20"/>
        </w:rPr>
        <w:t>11</w:t>
      </w:r>
    </w:p>
    <w:p w:rsidR="00A25F84" w:rsidRPr="00D87840" w:rsidRDefault="00F131DC" w:rsidP="00D87840">
      <w:pPr>
        <w:pStyle w:val="Tableofcontents180"/>
        <w:shd w:val="clear" w:color="auto" w:fill="auto"/>
        <w:spacing w:line="211" w:lineRule="exact"/>
        <w:ind w:left="20"/>
        <w:jc w:val="center"/>
        <w:rPr>
          <w:sz w:val="20"/>
          <w:szCs w:val="20"/>
        </w:rPr>
      </w:pPr>
      <w:r w:rsidRPr="00D87840">
        <w:rPr>
          <w:rStyle w:val="Tableofcontents18Sylfaen75ptSpacing0pt"/>
          <w:sz w:val="20"/>
          <w:szCs w:val="20"/>
        </w:rPr>
        <w:t xml:space="preserve">1. </w:t>
      </w:r>
      <w:r w:rsidRPr="00D87840">
        <w:rPr>
          <w:rStyle w:val="Tableofcontents18Spacing0pt"/>
          <w:sz w:val="20"/>
          <w:szCs w:val="20"/>
        </w:rPr>
        <w:t xml:space="preserve">ANALIZA SITUAŢIEI ÎN DOMENIUL CERCETĂRII INSTITUŢIEI </w:t>
      </w:r>
      <w:r w:rsidR="00D87840">
        <w:rPr>
          <w:rStyle w:val="Tableofcontents18Spacing0pt"/>
          <w:sz w:val="20"/>
          <w:szCs w:val="20"/>
        </w:rPr>
        <w:br/>
      </w:r>
      <w:r w:rsidRPr="00D87840">
        <w:rPr>
          <w:rStyle w:val="Tableofcontents18Spacing0pt"/>
          <w:sz w:val="20"/>
          <w:szCs w:val="20"/>
        </w:rPr>
        <w:t>DETERMINĂRII VALORII ÎN VAMĂ</w:t>
      </w:r>
    </w:p>
    <w:p w:rsidR="00A25F84" w:rsidRPr="00D87840" w:rsidRDefault="00F131DC" w:rsidP="00D87840">
      <w:pPr>
        <w:pStyle w:val="Tableofcontents100"/>
        <w:numPr>
          <w:ilvl w:val="0"/>
          <w:numId w:val="1"/>
        </w:numPr>
        <w:shd w:val="clear" w:color="auto" w:fill="auto"/>
        <w:tabs>
          <w:tab w:val="left" w:pos="532"/>
        </w:tabs>
        <w:spacing w:before="0" w:line="221" w:lineRule="exact"/>
        <w:ind w:left="200"/>
        <w:rPr>
          <w:sz w:val="20"/>
          <w:szCs w:val="20"/>
        </w:rPr>
      </w:pPr>
      <w:r w:rsidRPr="00D87840">
        <w:rPr>
          <w:rStyle w:val="Tableofcontents10Spacing0pt"/>
          <w:sz w:val="20"/>
          <w:szCs w:val="20"/>
        </w:rPr>
        <w:t>Analiza rezultatelor investigaţiilor ştiinţifice din Republica</w:t>
      </w:r>
    </w:p>
    <w:p w:rsidR="00A25F84" w:rsidRPr="00D87840" w:rsidRDefault="00F131DC" w:rsidP="00D87840">
      <w:pPr>
        <w:pStyle w:val="Tableofcontents100"/>
        <w:shd w:val="clear" w:color="auto" w:fill="auto"/>
        <w:tabs>
          <w:tab w:val="right" w:leader="dot" w:pos="5877"/>
        </w:tabs>
        <w:spacing w:before="0" w:line="221" w:lineRule="exact"/>
        <w:ind w:left="200"/>
        <w:rPr>
          <w:sz w:val="20"/>
          <w:szCs w:val="20"/>
        </w:rPr>
      </w:pPr>
      <w:r w:rsidRPr="00D87840">
        <w:rPr>
          <w:rStyle w:val="Tableofcontents10Spacing0pt"/>
          <w:sz w:val="20"/>
          <w:szCs w:val="20"/>
        </w:rPr>
        <w:t>Moldova în domeniul valorii în vamă</w:t>
      </w:r>
      <w:r w:rsidRPr="00D87840">
        <w:rPr>
          <w:rStyle w:val="Tableofcontents10Spacing0pt"/>
          <w:sz w:val="20"/>
          <w:szCs w:val="20"/>
        </w:rPr>
        <w:tab/>
        <w:t>15</w:t>
      </w:r>
    </w:p>
    <w:p w:rsidR="00A25F84" w:rsidRPr="00D87840" w:rsidRDefault="00F131DC" w:rsidP="00D87840">
      <w:pPr>
        <w:pStyle w:val="Tableofcontents100"/>
        <w:numPr>
          <w:ilvl w:val="0"/>
          <w:numId w:val="1"/>
        </w:numPr>
        <w:shd w:val="clear" w:color="auto" w:fill="auto"/>
        <w:tabs>
          <w:tab w:val="left" w:pos="532"/>
        </w:tabs>
        <w:spacing w:before="0" w:line="216" w:lineRule="exact"/>
        <w:ind w:left="200"/>
        <w:rPr>
          <w:sz w:val="20"/>
          <w:szCs w:val="20"/>
        </w:rPr>
      </w:pPr>
      <w:r w:rsidRPr="00D87840">
        <w:rPr>
          <w:rStyle w:val="Tableofcontents10Spacing0pt"/>
          <w:sz w:val="20"/>
          <w:szCs w:val="20"/>
        </w:rPr>
        <w:t>Analiza rezultatelor investigaţiilor ştiinţifice internaţionale</w:t>
      </w:r>
    </w:p>
    <w:p w:rsidR="00A25F84" w:rsidRPr="00D87840" w:rsidRDefault="00F131DC" w:rsidP="00D87840">
      <w:pPr>
        <w:pStyle w:val="Tableofcontents100"/>
        <w:shd w:val="clear" w:color="auto" w:fill="auto"/>
        <w:tabs>
          <w:tab w:val="right" w:leader="dot" w:pos="5877"/>
        </w:tabs>
        <w:spacing w:before="0" w:line="216" w:lineRule="exact"/>
        <w:ind w:left="200"/>
        <w:rPr>
          <w:sz w:val="20"/>
          <w:szCs w:val="20"/>
        </w:rPr>
      </w:pPr>
      <w:r w:rsidRPr="00D87840">
        <w:rPr>
          <w:rStyle w:val="Tableofcontents10Spacing0pt"/>
          <w:sz w:val="20"/>
          <w:szCs w:val="20"/>
        </w:rPr>
        <w:t>în domeniul valorii în vamă</w:t>
      </w:r>
      <w:r w:rsidRPr="00D87840">
        <w:rPr>
          <w:rStyle w:val="Tableofcontents10Spacing0pt"/>
          <w:sz w:val="20"/>
          <w:szCs w:val="20"/>
        </w:rPr>
        <w:tab/>
        <w:t>21</w:t>
      </w:r>
    </w:p>
    <w:p w:rsidR="00A25F84" w:rsidRPr="00D87840" w:rsidRDefault="00F131DC" w:rsidP="00D87840">
      <w:pPr>
        <w:pStyle w:val="Tableofcontents100"/>
        <w:numPr>
          <w:ilvl w:val="0"/>
          <w:numId w:val="1"/>
        </w:numPr>
        <w:shd w:val="clear" w:color="auto" w:fill="auto"/>
        <w:tabs>
          <w:tab w:val="left" w:pos="532"/>
        </w:tabs>
        <w:spacing w:before="0" w:line="216" w:lineRule="exact"/>
        <w:ind w:left="200"/>
        <w:rPr>
          <w:sz w:val="20"/>
          <w:szCs w:val="20"/>
        </w:rPr>
      </w:pPr>
      <w:r w:rsidRPr="00D87840">
        <w:rPr>
          <w:rStyle w:val="Tableofcontents10Spacing0pt"/>
          <w:sz w:val="20"/>
          <w:szCs w:val="20"/>
        </w:rPr>
        <w:t>Evoluţia sistemului GATT, importanţa aplicării articolului</w:t>
      </w:r>
    </w:p>
    <w:p w:rsidR="00A25F84" w:rsidRPr="00D87840" w:rsidRDefault="00F131DC" w:rsidP="00D87840">
      <w:pPr>
        <w:pStyle w:val="Tableofcontents100"/>
        <w:shd w:val="clear" w:color="auto" w:fill="auto"/>
        <w:tabs>
          <w:tab w:val="right" w:leader="dot" w:pos="5877"/>
        </w:tabs>
        <w:spacing w:before="0" w:line="216" w:lineRule="exact"/>
        <w:ind w:left="200"/>
        <w:rPr>
          <w:sz w:val="20"/>
          <w:szCs w:val="20"/>
        </w:rPr>
      </w:pPr>
      <w:r w:rsidRPr="00D87840">
        <w:rPr>
          <w:rStyle w:val="Tableofcontents10Spacing0pt"/>
          <w:sz w:val="20"/>
          <w:szCs w:val="20"/>
        </w:rPr>
        <w:t>VII la determinarea valorii în vamă</w:t>
      </w:r>
      <w:r w:rsidRPr="00D87840">
        <w:rPr>
          <w:rStyle w:val="Tableofcontents10Spacing0pt"/>
          <w:sz w:val="20"/>
          <w:szCs w:val="20"/>
        </w:rPr>
        <w:tab/>
        <w:t>26</w:t>
      </w:r>
    </w:p>
    <w:p w:rsidR="00A25F84" w:rsidRPr="00D87840" w:rsidRDefault="00F131DC" w:rsidP="00D87840">
      <w:pPr>
        <w:pStyle w:val="Tableofcontents100"/>
        <w:numPr>
          <w:ilvl w:val="0"/>
          <w:numId w:val="1"/>
        </w:numPr>
        <w:shd w:val="clear" w:color="auto" w:fill="auto"/>
        <w:tabs>
          <w:tab w:val="left" w:pos="532"/>
          <w:tab w:val="right" w:leader="dot" w:pos="5877"/>
        </w:tabs>
        <w:spacing w:before="0" w:after="300" w:line="216" w:lineRule="exact"/>
        <w:ind w:left="200"/>
        <w:rPr>
          <w:sz w:val="20"/>
          <w:szCs w:val="20"/>
        </w:rPr>
      </w:pPr>
      <w:r w:rsidRPr="00D87840">
        <w:rPr>
          <w:rStyle w:val="Tableofcontents10Spacing0pt"/>
          <w:sz w:val="20"/>
          <w:szCs w:val="20"/>
        </w:rPr>
        <w:t>Cadrul juridic naţional al valorii în vamă</w:t>
      </w:r>
      <w:r w:rsidRPr="00D87840">
        <w:rPr>
          <w:rStyle w:val="Tableofcontents10Spacing0pt"/>
          <w:sz w:val="20"/>
          <w:szCs w:val="20"/>
        </w:rPr>
        <w:tab/>
        <w:t>30</w:t>
      </w:r>
    </w:p>
    <w:p w:rsidR="00A25F84" w:rsidRPr="00D87840" w:rsidRDefault="00F131DC" w:rsidP="00D87840">
      <w:pPr>
        <w:pStyle w:val="Tableofcontents180"/>
        <w:shd w:val="clear" w:color="auto" w:fill="auto"/>
        <w:spacing w:line="216" w:lineRule="exact"/>
        <w:ind w:left="20"/>
        <w:jc w:val="center"/>
        <w:rPr>
          <w:sz w:val="20"/>
          <w:szCs w:val="20"/>
        </w:rPr>
      </w:pPr>
      <w:r w:rsidRPr="00D87840">
        <w:rPr>
          <w:rStyle w:val="Tableofcontents18Spacing0pt"/>
          <w:sz w:val="20"/>
          <w:szCs w:val="20"/>
        </w:rPr>
        <w:t xml:space="preserve">2. APLICAREA METODELOR DE DETERMINARE </w:t>
      </w:r>
      <w:r w:rsidR="00D87840">
        <w:rPr>
          <w:rStyle w:val="Tableofcontents18Spacing0pt"/>
          <w:sz w:val="20"/>
          <w:szCs w:val="20"/>
        </w:rPr>
        <w:br/>
      </w:r>
      <w:r w:rsidRPr="00D87840">
        <w:rPr>
          <w:rStyle w:val="Tableofcontents18Spacing0pt"/>
          <w:sz w:val="20"/>
          <w:szCs w:val="20"/>
        </w:rPr>
        <w:t>A VALORII ÎN VAMĂ</w:t>
      </w:r>
    </w:p>
    <w:p w:rsidR="00A25F84" w:rsidRPr="00D87840" w:rsidRDefault="00F131DC" w:rsidP="00D87840">
      <w:pPr>
        <w:pStyle w:val="Tableofcontents100"/>
        <w:numPr>
          <w:ilvl w:val="0"/>
          <w:numId w:val="2"/>
        </w:numPr>
        <w:shd w:val="clear" w:color="auto" w:fill="auto"/>
        <w:tabs>
          <w:tab w:val="left" w:pos="532"/>
        </w:tabs>
        <w:spacing w:before="0" w:line="211" w:lineRule="exact"/>
        <w:ind w:left="200"/>
        <w:rPr>
          <w:sz w:val="20"/>
          <w:szCs w:val="20"/>
        </w:rPr>
      </w:pPr>
      <w:r w:rsidRPr="00D87840">
        <w:rPr>
          <w:rStyle w:val="Tableofcontents10Spacing0pt"/>
          <w:sz w:val="20"/>
          <w:szCs w:val="20"/>
        </w:rPr>
        <w:t>Valoarea în vamă - implementarea instrumentarului juridic</w:t>
      </w:r>
    </w:p>
    <w:p w:rsidR="00A25F84" w:rsidRPr="00D87840" w:rsidRDefault="00F131DC" w:rsidP="00D87840">
      <w:pPr>
        <w:pStyle w:val="Tableofcontents100"/>
        <w:shd w:val="clear" w:color="auto" w:fill="auto"/>
        <w:tabs>
          <w:tab w:val="right" w:leader="dot" w:pos="5877"/>
        </w:tabs>
        <w:spacing w:before="0" w:line="211" w:lineRule="exact"/>
        <w:ind w:left="200"/>
        <w:rPr>
          <w:sz w:val="20"/>
          <w:szCs w:val="20"/>
        </w:rPr>
      </w:pPr>
      <w:r w:rsidRPr="00D87840">
        <w:rPr>
          <w:rStyle w:val="Tableofcontents10Spacing0pt"/>
          <w:sz w:val="20"/>
          <w:szCs w:val="20"/>
        </w:rPr>
        <w:t>de integrare vamală</w:t>
      </w:r>
      <w:r w:rsidRPr="00D87840">
        <w:rPr>
          <w:rStyle w:val="Tableofcontents10Spacing0pt"/>
          <w:sz w:val="20"/>
          <w:szCs w:val="20"/>
        </w:rPr>
        <w:tab/>
        <w:t>38</w:t>
      </w:r>
    </w:p>
    <w:p w:rsidR="00A25F84" w:rsidRPr="00D87840" w:rsidRDefault="00F131DC" w:rsidP="00D87840">
      <w:pPr>
        <w:pStyle w:val="Tableofcontents100"/>
        <w:numPr>
          <w:ilvl w:val="0"/>
          <w:numId w:val="2"/>
        </w:numPr>
        <w:shd w:val="clear" w:color="auto" w:fill="auto"/>
        <w:tabs>
          <w:tab w:val="left" w:pos="532"/>
        </w:tabs>
        <w:spacing w:before="0" w:line="211" w:lineRule="exact"/>
        <w:ind w:left="200"/>
        <w:rPr>
          <w:sz w:val="20"/>
          <w:szCs w:val="20"/>
        </w:rPr>
      </w:pPr>
      <w:r w:rsidRPr="00D87840">
        <w:rPr>
          <w:rStyle w:val="Tableofcontents10Spacing0pt"/>
          <w:sz w:val="20"/>
          <w:szCs w:val="20"/>
        </w:rPr>
        <w:t>Formarea cadrului juridic şi tendinţele actuale de aplicare</w:t>
      </w:r>
    </w:p>
    <w:p w:rsidR="00A25F84" w:rsidRPr="00D87840" w:rsidRDefault="00F131DC" w:rsidP="00D87840">
      <w:pPr>
        <w:pStyle w:val="Tableofcontents100"/>
        <w:shd w:val="clear" w:color="auto" w:fill="auto"/>
        <w:tabs>
          <w:tab w:val="right" w:leader="dot" w:pos="5877"/>
        </w:tabs>
        <w:spacing w:before="0" w:line="211" w:lineRule="exact"/>
        <w:ind w:left="200"/>
        <w:rPr>
          <w:sz w:val="20"/>
          <w:szCs w:val="20"/>
        </w:rPr>
      </w:pPr>
      <w:r w:rsidRPr="00D87840">
        <w:rPr>
          <w:rStyle w:val="Tableofcontents10Spacing0pt"/>
          <w:sz w:val="20"/>
          <w:szCs w:val="20"/>
        </w:rPr>
        <w:t>a valorii în vamă</w:t>
      </w:r>
      <w:r w:rsidRPr="00D87840">
        <w:rPr>
          <w:rStyle w:val="Tableofcontents10Spacing0pt"/>
          <w:sz w:val="20"/>
          <w:szCs w:val="20"/>
        </w:rPr>
        <w:tab/>
        <w:t>57</w:t>
      </w:r>
    </w:p>
    <w:p w:rsidR="00A25F84" w:rsidRPr="00D87840" w:rsidRDefault="00F131DC" w:rsidP="00D87840">
      <w:pPr>
        <w:pStyle w:val="Tableofcontents100"/>
        <w:numPr>
          <w:ilvl w:val="0"/>
          <w:numId w:val="2"/>
        </w:numPr>
        <w:shd w:val="clear" w:color="auto" w:fill="auto"/>
        <w:tabs>
          <w:tab w:val="left" w:pos="532"/>
          <w:tab w:val="right" w:leader="dot" w:pos="5877"/>
        </w:tabs>
        <w:spacing w:before="0" w:after="296" w:line="211" w:lineRule="exact"/>
        <w:ind w:left="200"/>
        <w:rPr>
          <w:sz w:val="20"/>
          <w:szCs w:val="20"/>
        </w:rPr>
      </w:pPr>
      <w:r w:rsidRPr="00D87840">
        <w:rPr>
          <w:rStyle w:val="Tableofcontents10Spacing0pt"/>
          <w:sz w:val="20"/>
          <w:szCs w:val="20"/>
        </w:rPr>
        <w:t>Cadrul juridico-practic de aplicare a valorii în vamă</w:t>
      </w:r>
      <w:r w:rsidRPr="00D87840">
        <w:rPr>
          <w:rStyle w:val="Tableofcontents10Spacing0pt"/>
          <w:sz w:val="20"/>
          <w:szCs w:val="20"/>
        </w:rPr>
        <w:tab/>
        <w:t>68</w:t>
      </w:r>
    </w:p>
    <w:p w:rsidR="00A25F84" w:rsidRPr="00D87840" w:rsidRDefault="00F131DC" w:rsidP="00D87840">
      <w:pPr>
        <w:pStyle w:val="Tableofcontents180"/>
        <w:shd w:val="clear" w:color="auto" w:fill="auto"/>
        <w:spacing w:line="216" w:lineRule="exact"/>
        <w:ind w:left="20"/>
        <w:jc w:val="center"/>
        <w:rPr>
          <w:sz w:val="20"/>
          <w:szCs w:val="20"/>
        </w:rPr>
      </w:pPr>
      <w:r w:rsidRPr="00D87840">
        <w:rPr>
          <w:rStyle w:val="Tableofcontents18Spacing0pt"/>
          <w:sz w:val="20"/>
          <w:szCs w:val="20"/>
        </w:rPr>
        <w:t xml:space="preserve">3. DECLARAREA VALORII ÎN VAMĂ LA IMPORTUL </w:t>
      </w:r>
      <w:r w:rsidR="00D87840">
        <w:rPr>
          <w:rStyle w:val="Tableofcontents18Spacing0pt"/>
          <w:sz w:val="20"/>
          <w:szCs w:val="20"/>
        </w:rPr>
        <w:br/>
      </w:r>
      <w:r w:rsidRPr="00D87840">
        <w:rPr>
          <w:rStyle w:val="Tableofcontents18Spacing0pt"/>
          <w:sz w:val="20"/>
          <w:szCs w:val="20"/>
        </w:rPr>
        <w:t>MĂRFURILOR ÎN REPUBLICA MOLDOVA</w:t>
      </w:r>
    </w:p>
    <w:p w:rsidR="00A25F84" w:rsidRPr="00D87840" w:rsidRDefault="00F131DC" w:rsidP="00D87840">
      <w:pPr>
        <w:pStyle w:val="Tableofcontents100"/>
        <w:numPr>
          <w:ilvl w:val="1"/>
          <w:numId w:val="2"/>
        </w:numPr>
        <w:shd w:val="clear" w:color="auto" w:fill="auto"/>
        <w:tabs>
          <w:tab w:val="left" w:pos="532"/>
          <w:tab w:val="right" w:leader="dot" w:pos="5877"/>
        </w:tabs>
        <w:spacing w:before="0" w:line="216" w:lineRule="exact"/>
        <w:ind w:left="200"/>
        <w:rPr>
          <w:sz w:val="20"/>
          <w:szCs w:val="20"/>
        </w:rPr>
      </w:pPr>
      <w:r w:rsidRPr="00D87840">
        <w:rPr>
          <w:rStyle w:val="Tableofcontents10Spacing0pt"/>
          <w:sz w:val="20"/>
          <w:szCs w:val="20"/>
        </w:rPr>
        <w:t>Procedura de declarare şi actele de procedură vamală</w:t>
      </w:r>
      <w:r w:rsidRPr="00D87840">
        <w:rPr>
          <w:rStyle w:val="Tableofcontents10Spacing0pt"/>
          <w:sz w:val="20"/>
          <w:szCs w:val="20"/>
        </w:rPr>
        <w:tab/>
        <w:t>106</w:t>
      </w:r>
    </w:p>
    <w:p w:rsidR="00A25F84" w:rsidRPr="00D87840" w:rsidRDefault="00F131DC" w:rsidP="00D87840">
      <w:pPr>
        <w:pStyle w:val="Tableofcontents100"/>
        <w:numPr>
          <w:ilvl w:val="1"/>
          <w:numId w:val="2"/>
        </w:numPr>
        <w:shd w:val="clear" w:color="auto" w:fill="auto"/>
        <w:tabs>
          <w:tab w:val="left" w:pos="532"/>
        </w:tabs>
        <w:spacing w:before="0" w:line="216" w:lineRule="exact"/>
        <w:ind w:left="200"/>
        <w:rPr>
          <w:sz w:val="20"/>
          <w:szCs w:val="20"/>
        </w:rPr>
      </w:pPr>
      <w:r w:rsidRPr="00D87840">
        <w:rPr>
          <w:rStyle w:val="Tableofcontents10Spacing0pt"/>
          <w:sz w:val="20"/>
          <w:szCs w:val="20"/>
        </w:rPr>
        <w:t>Aplicarea metodelor de determinare a valorii în vamă</w:t>
      </w:r>
    </w:p>
    <w:p w:rsidR="00A25F84" w:rsidRPr="00D87840" w:rsidRDefault="00F131DC" w:rsidP="00D87840">
      <w:pPr>
        <w:pStyle w:val="Tableofcontents100"/>
        <w:shd w:val="clear" w:color="auto" w:fill="auto"/>
        <w:tabs>
          <w:tab w:val="right" w:leader="dot" w:pos="5877"/>
        </w:tabs>
        <w:spacing w:before="0" w:line="216" w:lineRule="exact"/>
        <w:ind w:left="200"/>
        <w:rPr>
          <w:sz w:val="20"/>
          <w:szCs w:val="20"/>
        </w:rPr>
      </w:pPr>
      <w:r w:rsidRPr="00D87840">
        <w:rPr>
          <w:rStyle w:val="Tableofcontents10Spacing0pt"/>
          <w:sz w:val="20"/>
          <w:szCs w:val="20"/>
        </w:rPr>
        <w:t>la mărfurile importate în Republica Moldova</w:t>
      </w:r>
      <w:r w:rsidRPr="00D87840">
        <w:rPr>
          <w:rStyle w:val="Tableofcontents10Spacing0pt"/>
          <w:sz w:val="20"/>
          <w:szCs w:val="20"/>
        </w:rPr>
        <w:tab/>
        <w:t>115</w:t>
      </w:r>
    </w:p>
    <w:p w:rsidR="00A25F84" w:rsidRPr="00D87840" w:rsidRDefault="00F131DC" w:rsidP="00D87840">
      <w:pPr>
        <w:pStyle w:val="Tableofcontents100"/>
        <w:numPr>
          <w:ilvl w:val="1"/>
          <w:numId w:val="2"/>
        </w:numPr>
        <w:shd w:val="clear" w:color="auto" w:fill="auto"/>
        <w:tabs>
          <w:tab w:val="left" w:pos="532"/>
        </w:tabs>
        <w:spacing w:before="0" w:line="216" w:lineRule="exact"/>
        <w:ind w:left="200"/>
        <w:rPr>
          <w:sz w:val="20"/>
          <w:szCs w:val="20"/>
        </w:rPr>
      </w:pPr>
      <w:r w:rsidRPr="00D87840">
        <w:rPr>
          <w:rStyle w:val="Tableofcontents10Spacing0pt"/>
          <w:sz w:val="20"/>
          <w:szCs w:val="20"/>
        </w:rPr>
        <w:t>Practica examinării litigiilor în contencios administrativ</w:t>
      </w:r>
    </w:p>
    <w:p w:rsidR="00A25F84" w:rsidRPr="00D87840" w:rsidRDefault="00F131DC" w:rsidP="00D87840">
      <w:pPr>
        <w:pStyle w:val="Tableofcontents100"/>
        <w:shd w:val="clear" w:color="auto" w:fill="auto"/>
        <w:tabs>
          <w:tab w:val="right" w:leader="dot" w:pos="5877"/>
        </w:tabs>
        <w:spacing w:before="0" w:after="60" w:line="216" w:lineRule="exact"/>
        <w:ind w:left="200"/>
        <w:rPr>
          <w:sz w:val="20"/>
          <w:szCs w:val="20"/>
        </w:rPr>
      </w:pPr>
      <w:r w:rsidRPr="00D87840">
        <w:rPr>
          <w:rStyle w:val="Tableofcontents10Spacing0pt"/>
          <w:sz w:val="20"/>
          <w:szCs w:val="20"/>
        </w:rPr>
        <w:t>ca rezultat al majorării valorii în vamă</w:t>
      </w:r>
      <w:r w:rsidRPr="00D87840">
        <w:rPr>
          <w:rStyle w:val="Tableofcontents10Spacing0pt"/>
          <w:sz w:val="20"/>
          <w:szCs w:val="20"/>
        </w:rPr>
        <w:tab/>
        <w:t>114</w:t>
      </w:r>
    </w:p>
    <w:p w:rsidR="00A25F84" w:rsidRPr="00D87840" w:rsidRDefault="00F131DC" w:rsidP="00D87840">
      <w:pPr>
        <w:pStyle w:val="Tableofcontents190"/>
        <w:shd w:val="clear" w:color="auto" w:fill="auto"/>
        <w:tabs>
          <w:tab w:val="right" w:leader="dot" w:pos="5877"/>
        </w:tabs>
        <w:spacing w:before="0" w:line="216" w:lineRule="exact"/>
        <w:ind w:left="200"/>
        <w:rPr>
          <w:sz w:val="20"/>
          <w:szCs w:val="20"/>
        </w:rPr>
      </w:pPr>
      <w:r w:rsidRPr="00D87840">
        <w:rPr>
          <w:rStyle w:val="Tableofcontents19Spacing0pt"/>
          <w:i/>
          <w:iCs/>
          <w:sz w:val="20"/>
          <w:szCs w:val="20"/>
        </w:rPr>
        <w:t>Concluzii generale şi recomandări</w:t>
      </w:r>
      <w:r w:rsidRPr="00D87840">
        <w:rPr>
          <w:rStyle w:val="Tableofcontents1975ptNotItalicSpacing0pt"/>
          <w:sz w:val="20"/>
          <w:szCs w:val="20"/>
        </w:rPr>
        <w:tab/>
        <w:t>136</w:t>
      </w:r>
    </w:p>
    <w:p w:rsidR="00A25F84" w:rsidRPr="00D87840" w:rsidRDefault="00F131DC" w:rsidP="00D87840">
      <w:pPr>
        <w:pStyle w:val="Tableofcontents190"/>
        <w:shd w:val="clear" w:color="auto" w:fill="auto"/>
        <w:tabs>
          <w:tab w:val="right" w:leader="dot" w:pos="5677"/>
        </w:tabs>
        <w:spacing w:before="0" w:line="216" w:lineRule="exact"/>
        <w:rPr>
          <w:sz w:val="20"/>
          <w:szCs w:val="20"/>
        </w:rPr>
      </w:pPr>
      <w:r w:rsidRPr="00D87840">
        <w:rPr>
          <w:rStyle w:val="Tableofcontents19Spacing0pt"/>
          <w:i/>
          <w:iCs/>
          <w:sz w:val="20"/>
          <w:szCs w:val="20"/>
        </w:rPr>
        <w:t>Bibliografie</w:t>
      </w:r>
      <w:r w:rsidRPr="00D87840">
        <w:rPr>
          <w:rStyle w:val="Tableofcontents1975ptNotItalicSpacing0pt"/>
          <w:sz w:val="20"/>
          <w:szCs w:val="20"/>
        </w:rPr>
        <w:tab/>
        <w:t>139</w:t>
      </w:r>
    </w:p>
    <w:p w:rsidR="00A25F84" w:rsidRPr="00D87840" w:rsidRDefault="00F131DC" w:rsidP="00D87840">
      <w:pPr>
        <w:pStyle w:val="Tableofcontents200"/>
        <w:shd w:val="clear" w:color="auto" w:fill="auto"/>
        <w:ind w:left="200"/>
        <w:rPr>
          <w:sz w:val="20"/>
          <w:szCs w:val="20"/>
        </w:rPr>
      </w:pPr>
      <w:r w:rsidRPr="00D87840">
        <w:rPr>
          <w:sz w:val="20"/>
          <w:szCs w:val="20"/>
        </w:rPr>
        <w:t>ANEXE</w:t>
      </w:r>
    </w:p>
    <w:p w:rsidR="00A25F84" w:rsidRPr="00D87840" w:rsidRDefault="00F131DC" w:rsidP="00D87840">
      <w:pPr>
        <w:pStyle w:val="Tableofcontents100"/>
        <w:shd w:val="clear" w:color="auto" w:fill="auto"/>
        <w:spacing w:before="0" w:line="216" w:lineRule="exact"/>
        <w:ind w:left="20"/>
        <w:rPr>
          <w:sz w:val="20"/>
          <w:szCs w:val="20"/>
        </w:rPr>
      </w:pPr>
      <w:r w:rsidRPr="00D87840">
        <w:rPr>
          <w:rStyle w:val="Tableofcontents10TimesNewRoman85ptItalicSpacing0pt"/>
          <w:rFonts w:eastAsia="Sylfaen"/>
          <w:sz w:val="20"/>
          <w:szCs w:val="20"/>
        </w:rPr>
        <w:t>Anexa 1.</w:t>
      </w:r>
      <w:r w:rsidRPr="00D87840">
        <w:rPr>
          <w:rStyle w:val="Tableofcontents10Spacing0pt"/>
          <w:sz w:val="20"/>
          <w:szCs w:val="20"/>
        </w:rPr>
        <w:t xml:space="preserve"> Proiect de Lege cu privire la modificarea şi completarea</w:t>
      </w:r>
    </w:p>
    <w:p w:rsidR="00A25F84" w:rsidRPr="00D87840" w:rsidRDefault="00F131DC" w:rsidP="00D87840">
      <w:pPr>
        <w:pStyle w:val="Tableofcontents100"/>
        <w:shd w:val="clear" w:color="auto" w:fill="auto"/>
        <w:spacing w:before="0" w:line="216" w:lineRule="exact"/>
        <w:ind w:left="200"/>
        <w:rPr>
          <w:sz w:val="20"/>
          <w:szCs w:val="20"/>
        </w:rPr>
      </w:pPr>
      <w:r w:rsidRPr="00D87840">
        <w:rPr>
          <w:rStyle w:val="Tableofcontents10Spacing0pt"/>
          <w:sz w:val="20"/>
          <w:szCs w:val="20"/>
        </w:rPr>
        <w:t>legii iu. 1380-XIII din 20 noiembrie 1997 cu privire la tariful</w:t>
      </w:r>
    </w:p>
    <w:p w:rsidR="00A25F84" w:rsidRDefault="00F131DC" w:rsidP="00D87840">
      <w:pPr>
        <w:pStyle w:val="Tableofcontents100"/>
        <w:shd w:val="clear" w:color="auto" w:fill="auto"/>
        <w:tabs>
          <w:tab w:val="right" w:leader="dot" w:pos="5677"/>
        </w:tabs>
        <w:spacing w:before="0" w:line="216" w:lineRule="exact"/>
        <w:rPr>
          <w:rStyle w:val="Tableofcontents10Spacing0pt"/>
          <w:sz w:val="20"/>
          <w:szCs w:val="20"/>
        </w:rPr>
      </w:pPr>
      <w:r w:rsidRPr="00D87840">
        <w:rPr>
          <w:rStyle w:val="Tableofcontents10Spacing0pt"/>
          <w:sz w:val="20"/>
          <w:szCs w:val="20"/>
        </w:rPr>
        <w:t>vamal</w:t>
      </w:r>
      <w:r w:rsidRPr="00D87840">
        <w:rPr>
          <w:rStyle w:val="Tableofcontents10Spacing0pt"/>
          <w:sz w:val="20"/>
          <w:szCs w:val="20"/>
        </w:rPr>
        <w:tab/>
        <w:t>151</w:t>
      </w:r>
    </w:p>
    <w:p w:rsidR="00D87840" w:rsidRDefault="00D87840" w:rsidP="00D87840">
      <w:pPr>
        <w:pStyle w:val="Tableofcontents100"/>
        <w:shd w:val="clear" w:color="auto" w:fill="auto"/>
        <w:tabs>
          <w:tab w:val="right" w:leader="dot" w:pos="5677"/>
        </w:tabs>
        <w:spacing w:before="0" w:line="216" w:lineRule="exact"/>
        <w:rPr>
          <w:rStyle w:val="Tableofcontents10Spacing0pt"/>
          <w:sz w:val="20"/>
          <w:szCs w:val="20"/>
        </w:rPr>
      </w:pPr>
    </w:p>
    <w:p w:rsidR="00D87840" w:rsidRDefault="00D87840" w:rsidP="00F97B2F">
      <w:pPr>
        <w:autoSpaceDN w:val="0"/>
        <w:spacing w:before="100" w:beforeAutospacing="1" w:after="100" w:afterAutospacing="1"/>
        <w:contextualSpacing/>
        <w:rPr>
          <w:rFonts w:ascii="Arial" w:eastAsia="Book Antiqua" w:hAnsi="Arial" w:cs="Arial"/>
          <w:sz w:val="20"/>
          <w:szCs w:val="20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Titlu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:</w:t>
      </w:r>
      <w:proofErr w:type="gramStart"/>
      <w:r w:rsidR="00F97B2F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</w:rPr>
        <w:t>Reglemen</w:t>
      </w:r>
      <w:bookmarkStart w:id="1" w:name="_GoBack"/>
      <w:bookmarkEnd w:id="1"/>
      <w:r>
        <w:rPr>
          <w:rFonts w:ascii="Arial" w:eastAsia="Book Antiqua" w:hAnsi="Arial" w:cs="Arial"/>
          <w:sz w:val="20"/>
          <w:szCs w:val="20"/>
        </w:rPr>
        <w:t>tarea</w:t>
      </w:r>
      <w:r w:rsidR="00F97B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juridică</w:t>
      </w:r>
      <w:r w:rsidR="00F97B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</w:t>
      </w:r>
      <w:r w:rsidR="00F97B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aplicării</w:t>
      </w:r>
      <w:r w:rsidR="00F97B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valorii</w:t>
      </w:r>
      <w:r w:rsidR="00F97B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în</w:t>
      </w:r>
      <w:r w:rsidR="00F97B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vamă</w:t>
      </w:r>
      <w:r w:rsidR="00F97B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la</w:t>
      </w:r>
      <w:r w:rsidR="00F97B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mărfurile</w:t>
      </w:r>
      <w:r w:rsidR="00F97B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importate</w:t>
      </w:r>
      <w:r w:rsidR="00F97B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în</w:t>
      </w:r>
      <w:r w:rsidR="00F97B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Republica</w:t>
      </w:r>
      <w:r w:rsidR="00F97B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Moldova</w:t>
      </w:r>
    </w:p>
    <w:p w:rsidR="00D87840" w:rsidRPr="002C6E95" w:rsidRDefault="00D87840" w:rsidP="00F97B2F">
      <w:pPr>
        <w:autoSpaceDN w:val="0"/>
        <w:spacing w:before="100" w:beforeAutospacing="1" w:after="100" w:afterAutospacing="1"/>
        <w:contextualSpacing/>
        <w:rPr>
          <w:rFonts w:ascii="Arial" w:eastAsia="SimSun" w:hAnsi="Arial" w:cs="Arial"/>
          <w:lang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Autor:</w:t>
      </w:r>
      <w:r w:rsidR="00F97B2F">
        <w:rPr>
          <w:rFonts w:ascii="Arial" w:eastAsia="SimSun" w:hAnsi="Arial" w:cs="Arial"/>
          <w:lang w:val="es-ES" w:eastAsia="zh-CN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</w:rPr>
        <w:t>Sîrghii</w:t>
      </w:r>
      <w:proofErr w:type="spellEnd"/>
      <w:r w:rsidR="00F97B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Viorel,</w:t>
      </w:r>
      <w:r w:rsidR="00F97B2F">
        <w:rPr>
          <w:rFonts w:ascii="Arial" w:eastAsia="Book Antiqua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</w:rPr>
        <w:t>Armeanic</w:t>
      </w:r>
      <w:proofErr w:type="spellEnd"/>
      <w:r w:rsidR="00F97B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Alexandru</w:t>
      </w:r>
    </w:p>
    <w:p w:rsidR="00D87840" w:rsidRPr="002C6E95" w:rsidRDefault="00D87840" w:rsidP="00F97B2F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Locul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,</w:t>
      </w:r>
      <w:r w:rsidR="00F97B2F">
        <w:rPr>
          <w:rFonts w:ascii="Arial" w:eastAsia="SimSun" w:hAnsi="Arial" w:cs="Arial"/>
          <w:b/>
          <w:bCs/>
          <w:lang w:val="it-IT" w:eastAsia="zh-CN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Chişinău</w:t>
      </w:r>
      <w:r w:rsidRPr="00F97B2F">
        <w:rPr>
          <w:rFonts w:ascii="Arial" w:eastAsia="Book Antiqua" w:hAnsi="Arial" w:cs="Arial"/>
          <w:sz w:val="20"/>
          <w:szCs w:val="20"/>
          <w:lang w:val="en-US"/>
        </w:rPr>
        <w:t>:</w:t>
      </w:r>
      <w:r w:rsidR="00F97B2F">
        <w:rPr>
          <w:rFonts w:ascii="Arial" w:eastAsia="Book Antiqua" w:hAnsi="Arial" w:cs="Arial"/>
          <w:sz w:val="20"/>
          <w:szCs w:val="20"/>
          <w:lang w:val="en-US"/>
        </w:rPr>
        <w:t xml:space="preserve"> </w:t>
      </w:r>
      <w:r w:rsidRPr="00F97B2F">
        <w:rPr>
          <w:rFonts w:ascii="Arial" w:eastAsia="Book Antiqua" w:hAnsi="Arial" w:cs="Arial"/>
          <w:sz w:val="20"/>
          <w:szCs w:val="20"/>
          <w:lang w:val="en-US"/>
        </w:rPr>
        <w:t>S.</w:t>
      </w:r>
      <w:r w:rsidR="00F97B2F">
        <w:rPr>
          <w:rFonts w:ascii="Arial" w:eastAsia="Book Antiqua" w:hAnsi="Arial" w:cs="Arial"/>
          <w:sz w:val="20"/>
          <w:szCs w:val="20"/>
          <w:lang w:val="en-US"/>
        </w:rPr>
        <w:t xml:space="preserve"> </w:t>
      </w:r>
      <w:r w:rsidRPr="00F97B2F">
        <w:rPr>
          <w:rFonts w:ascii="Arial" w:eastAsia="Book Antiqua" w:hAnsi="Arial" w:cs="Arial"/>
          <w:sz w:val="20"/>
          <w:szCs w:val="20"/>
          <w:lang w:val="en-US"/>
        </w:rPr>
        <w:t>n.,</w:t>
      </w:r>
      <w:r w:rsidR="00F97B2F">
        <w:rPr>
          <w:rFonts w:ascii="Arial" w:eastAsia="Book Antiqua" w:hAnsi="Arial" w:cs="Arial"/>
          <w:sz w:val="20"/>
          <w:szCs w:val="20"/>
          <w:lang w:val="en-US"/>
        </w:rPr>
        <w:t xml:space="preserve"> </w:t>
      </w:r>
      <w:r w:rsidRPr="00F97B2F">
        <w:rPr>
          <w:rFonts w:ascii="Arial" w:eastAsia="Book Antiqua" w:hAnsi="Arial" w:cs="Arial"/>
          <w:sz w:val="20"/>
          <w:szCs w:val="20"/>
          <w:lang w:val="en-US"/>
        </w:rPr>
        <w:t>2019</w:t>
      </w:r>
    </w:p>
    <w:p w:rsidR="00D87840" w:rsidRPr="002C6E95" w:rsidRDefault="00D87840" w:rsidP="00F97B2F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r w:rsidRPr="002C6E95">
        <w:rPr>
          <w:rFonts w:ascii="Arial" w:eastAsia="SimSun" w:hAnsi="Arial" w:cs="Arial"/>
          <w:b/>
          <w:bCs/>
          <w:lang w:val="it-IT" w:eastAsia="zh-CN"/>
        </w:rPr>
        <w:t>Cota:</w:t>
      </w:r>
      <w:proofErr w:type="gramStart"/>
      <w:r w:rsidR="00F97B2F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  <w:lang w:val="fr-CA"/>
        </w:rPr>
        <w:t>347.7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,</w:t>
      </w:r>
      <w:r w:rsidR="00F97B2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S</w:t>
      </w:r>
      <w:r w:rsidR="00F97B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-</w:t>
      </w:r>
      <w:r w:rsidR="00F97B2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60</w:t>
      </w:r>
    </w:p>
    <w:p w:rsidR="00D87840" w:rsidRPr="002C6E95" w:rsidRDefault="00D87840" w:rsidP="00F97B2F">
      <w:pPr>
        <w:autoSpaceDN w:val="0"/>
        <w:contextualSpacing/>
        <w:rPr>
          <w:rFonts w:ascii="Arial" w:eastAsia="SimSun" w:hAnsi="Arial" w:cs="Arial"/>
          <w:lang w:val="es-ES"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Localizare:</w:t>
      </w:r>
      <w:r w:rsidR="00F97B2F">
        <w:rPr>
          <w:rFonts w:ascii="Arial" w:eastAsia="SimSun" w:hAnsi="Arial" w:cs="Arial"/>
          <w:lang w:val="es-ES" w:eastAsia="zh-CN"/>
        </w:rPr>
        <w:t xml:space="preserve">   </w:t>
      </w:r>
      <w:proofErr w:type="spellStart"/>
      <w:r w:rsidRPr="002C6E95">
        <w:rPr>
          <w:rFonts w:ascii="Arial" w:eastAsia="Book Antiqua" w:hAnsi="Arial" w:cs="Arial"/>
          <w:sz w:val="20"/>
          <w:szCs w:val="20"/>
          <w:lang w:val="fr-CA"/>
        </w:rPr>
        <w:t>Depozit</w:t>
      </w:r>
      <w:proofErr w:type="spellEnd"/>
      <w:r w:rsidR="00F97B2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Central</w:t>
      </w:r>
      <w:r w:rsidR="00F97B2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(1</w:t>
      </w:r>
      <w:r w:rsidR="00F97B2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ex.)</w:t>
      </w:r>
    </w:p>
    <w:p w:rsidR="00D87840" w:rsidRDefault="00D87840" w:rsidP="00F97B2F">
      <w:pPr>
        <w:autoSpaceDN w:val="0"/>
        <w:spacing w:after="240"/>
        <w:rPr>
          <w:rFonts w:ascii="Arial" w:eastAsia="SimSun" w:hAnsi="Arial" w:cs="Arial"/>
          <w:lang w:val="fr-CA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fr-CA" w:eastAsia="zh-CN"/>
        </w:rPr>
        <w:t>Cuprins</w:t>
      </w:r>
      <w:proofErr w:type="spellEnd"/>
      <w:r w:rsidRPr="002C6E95">
        <w:rPr>
          <w:rFonts w:ascii="Arial" w:eastAsia="SimSun" w:hAnsi="Arial" w:cs="Arial"/>
          <w:b/>
          <w:bCs/>
          <w:lang w:val="fr-CA" w:eastAsia="zh-CN"/>
        </w:rPr>
        <w:t>:</w:t>
      </w:r>
      <w:r w:rsidR="00F97B2F">
        <w:rPr>
          <w:rFonts w:ascii="Arial" w:eastAsia="SimSun" w:hAnsi="Arial" w:cs="Arial"/>
          <w:lang w:val="fr-CA" w:eastAsia="zh-CN"/>
        </w:rPr>
        <w:t xml:space="preserve">  </w:t>
      </w:r>
    </w:p>
    <w:p w:rsidR="00D87840" w:rsidRPr="00D87840" w:rsidRDefault="00D87840" w:rsidP="00D87840">
      <w:pPr>
        <w:pStyle w:val="Tableofcontents100"/>
        <w:shd w:val="clear" w:color="auto" w:fill="auto"/>
        <w:tabs>
          <w:tab w:val="right" w:leader="dot" w:pos="5677"/>
        </w:tabs>
        <w:spacing w:before="0" w:line="216" w:lineRule="exact"/>
        <w:rPr>
          <w:sz w:val="20"/>
          <w:szCs w:val="20"/>
          <w:lang w:val="fr-CA"/>
        </w:rPr>
      </w:pPr>
    </w:p>
    <w:p w:rsidR="00A25F84" w:rsidRDefault="00A25F84">
      <w:pPr>
        <w:rPr>
          <w:sz w:val="2"/>
          <w:szCs w:val="2"/>
        </w:rPr>
      </w:pPr>
    </w:p>
    <w:sectPr w:rsidR="00A25F84" w:rsidSect="00D87840">
      <w:pgSz w:w="8391" w:h="11906" w:code="11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7B" w:rsidRDefault="00367E7B">
      <w:r>
        <w:separator/>
      </w:r>
    </w:p>
  </w:endnote>
  <w:endnote w:type="continuationSeparator" w:id="0">
    <w:p w:rsidR="00367E7B" w:rsidRDefault="0036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7B" w:rsidRDefault="00367E7B"/>
  </w:footnote>
  <w:footnote w:type="continuationSeparator" w:id="0">
    <w:p w:rsidR="00367E7B" w:rsidRDefault="00367E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43E"/>
    <w:multiLevelType w:val="multilevel"/>
    <w:tmpl w:val="C0B43862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D1EC2"/>
    <w:multiLevelType w:val="multilevel"/>
    <w:tmpl w:val="6E983D18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o-RO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84"/>
    <w:rsid w:val="00367E7B"/>
    <w:rsid w:val="00A25F84"/>
    <w:rsid w:val="00D87840"/>
    <w:rsid w:val="00F131DC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312">
    <w:name w:val="Heading #31 (2)_"/>
    <w:basedOn w:val="DefaultParagraphFont"/>
    <w:link w:val="Heading31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Tableofcontents19">
    <w:name w:val="Table of contents (19)_"/>
    <w:basedOn w:val="DefaultParagraphFont"/>
    <w:link w:val="Tableofcontents190"/>
    <w:rPr>
      <w:rFonts w:ascii="Sylfaen" w:eastAsia="Sylfaen" w:hAnsi="Sylfaen" w:cs="Sylfaen"/>
      <w:b w:val="0"/>
      <w:bCs w:val="0"/>
      <w:i/>
      <w:iCs/>
      <w:smallCaps w:val="0"/>
      <w:strike w:val="0"/>
      <w:spacing w:val="-6"/>
      <w:sz w:val="18"/>
      <w:szCs w:val="18"/>
      <w:u w:val="none"/>
    </w:rPr>
  </w:style>
  <w:style w:type="character" w:customStyle="1" w:styleId="Tableofcontents19Spacing0pt">
    <w:name w:val="Table of contents (19) + Spacing 0 pt"/>
    <w:basedOn w:val="Tableofcontents1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lang w:val="ro-RO"/>
    </w:rPr>
  </w:style>
  <w:style w:type="character" w:customStyle="1" w:styleId="Tableofcontents1910ptNotItalicSpacing0pt">
    <w:name w:val="Table of contents (19) + 10 pt;Not Italic;Spacing 0 pt"/>
    <w:basedOn w:val="Tableofcontents1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ofcontents1975ptNotItalicSpacing0pt">
    <w:name w:val="Table of contents (19) + 7;5 pt;Not Italic;Spacing 0 pt"/>
    <w:basedOn w:val="Tableofcontents1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ro-RO"/>
    </w:rPr>
  </w:style>
  <w:style w:type="character" w:customStyle="1" w:styleId="Tableofcontents18">
    <w:name w:val="Table of contents (18)_"/>
    <w:basedOn w:val="DefaultParagraphFont"/>
    <w:link w:val="Tableofcontents1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Tableofcontents18Sylfaen75ptSpacing0pt">
    <w:name w:val="Table of contents (18) + Sylfaen;7;5 pt;Spacing 0 pt"/>
    <w:basedOn w:val="Tableofcontents1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o-RO"/>
    </w:rPr>
  </w:style>
  <w:style w:type="character" w:customStyle="1" w:styleId="Tableofcontents18Spacing0pt">
    <w:name w:val="Table of contents (18) + Spacing 0 pt"/>
    <w:basedOn w:val="Tableofcontents1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o-RO"/>
    </w:rPr>
  </w:style>
  <w:style w:type="character" w:customStyle="1" w:styleId="Tableofcontents10">
    <w:name w:val="Table of contents (10)_"/>
    <w:basedOn w:val="DefaultParagraphFont"/>
    <w:link w:val="Tableofcontents10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Tableofcontents10Spacing0pt">
    <w:name w:val="Table of contents (10) + Spacing 0 pt"/>
    <w:basedOn w:val="Tableofcontents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o-RO"/>
    </w:rPr>
  </w:style>
  <w:style w:type="character" w:customStyle="1" w:styleId="Tableofcontents20">
    <w:name w:val="Table of contents (20)_"/>
    <w:basedOn w:val="DefaultParagraphFont"/>
    <w:link w:val="Tableofcontents200"/>
    <w:rPr>
      <w:rFonts w:ascii="Arial" w:eastAsia="Arial" w:hAnsi="Arial" w:cs="Arial"/>
      <w:b w:val="0"/>
      <w:bCs w:val="0"/>
      <w:i/>
      <w:iCs/>
      <w:smallCaps w:val="0"/>
      <w:strike w:val="0"/>
      <w:spacing w:val="-9"/>
      <w:sz w:val="16"/>
      <w:szCs w:val="16"/>
      <w:u w:val="none"/>
    </w:rPr>
  </w:style>
  <w:style w:type="character" w:customStyle="1" w:styleId="Tableofcontents10TimesNewRoman85ptItalicSpacing0pt">
    <w:name w:val="Table of contents (10) + Times New Roman;8;5 pt;Italic;Spacing 0 pt"/>
    <w:basedOn w:val="Tableofcontent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lang w:val="ro-RO"/>
    </w:rPr>
  </w:style>
  <w:style w:type="character" w:customStyle="1" w:styleId="Headerorfooter7">
    <w:name w:val="Header or footer (7)_"/>
    <w:basedOn w:val="DefaultParagraphFont"/>
    <w:link w:val="Headerorfooter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120">
    <w:name w:val="Heading #31 (2)"/>
    <w:basedOn w:val="Normal"/>
    <w:link w:val="Heading312"/>
    <w:pPr>
      <w:shd w:val="clear" w:color="auto" w:fill="FFFFFF"/>
      <w:spacing w:after="1560" w:line="0" w:lineRule="atLeast"/>
      <w:jc w:val="center"/>
    </w:pPr>
    <w:rPr>
      <w:rFonts w:ascii="Sylfaen" w:eastAsia="Sylfaen" w:hAnsi="Sylfaen" w:cs="Sylfaen"/>
      <w:spacing w:val="3"/>
      <w:sz w:val="15"/>
      <w:szCs w:val="15"/>
    </w:rPr>
  </w:style>
  <w:style w:type="paragraph" w:customStyle="1" w:styleId="Tableofcontents190">
    <w:name w:val="Table of contents (19)"/>
    <w:basedOn w:val="Normal"/>
    <w:link w:val="Tableofcontents19"/>
    <w:pPr>
      <w:shd w:val="clear" w:color="auto" w:fill="FFFFFF"/>
      <w:spacing w:before="120" w:line="0" w:lineRule="atLeast"/>
      <w:jc w:val="both"/>
    </w:pPr>
    <w:rPr>
      <w:rFonts w:ascii="Sylfaen" w:eastAsia="Sylfaen" w:hAnsi="Sylfaen" w:cs="Sylfaen"/>
      <w:i/>
      <w:iCs/>
      <w:spacing w:val="-6"/>
      <w:sz w:val="18"/>
      <w:szCs w:val="18"/>
    </w:rPr>
  </w:style>
  <w:style w:type="paragraph" w:customStyle="1" w:styleId="Tableofcontents180">
    <w:name w:val="Table of contents (18)"/>
    <w:basedOn w:val="Normal"/>
    <w:link w:val="Tableofcontents18"/>
    <w:pPr>
      <w:shd w:val="clear" w:color="auto" w:fill="FFFFFF"/>
      <w:spacing w:line="250" w:lineRule="exact"/>
      <w:jc w:val="both"/>
    </w:pPr>
    <w:rPr>
      <w:rFonts w:ascii="Century Gothic" w:eastAsia="Century Gothic" w:hAnsi="Century Gothic" w:cs="Century Gothic"/>
      <w:spacing w:val="7"/>
      <w:sz w:val="16"/>
      <w:szCs w:val="16"/>
    </w:rPr>
  </w:style>
  <w:style w:type="paragraph" w:customStyle="1" w:styleId="Tableofcontents100">
    <w:name w:val="Table of contents (10)"/>
    <w:basedOn w:val="Normal"/>
    <w:link w:val="Tableofcontents10"/>
    <w:pPr>
      <w:shd w:val="clear" w:color="auto" w:fill="FFFFFF"/>
      <w:spacing w:before="240" w:line="226" w:lineRule="exact"/>
      <w:jc w:val="both"/>
    </w:pPr>
    <w:rPr>
      <w:rFonts w:ascii="Sylfaen" w:eastAsia="Sylfaen" w:hAnsi="Sylfaen" w:cs="Sylfaen"/>
      <w:spacing w:val="7"/>
      <w:sz w:val="15"/>
      <w:szCs w:val="15"/>
    </w:rPr>
  </w:style>
  <w:style w:type="paragraph" w:customStyle="1" w:styleId="Tableofcontents200">
    <w:name w:val="Table of contents (20)"/>
    <w:basedOn w:val="Normal"/>
    <w:link w:val="Tableofcontents20"/>
    <w:pPr>
      <w:shd w:val="clear" w:color="auto" w:fill="FFFFFF"/>
      <w:spacing w:line="216" w:lineRule="exact"/>
      <w:jc w:val="both"/>
    </w:pPr>
    <w:rPr>
      <w:rFonts w:ascii="Arial" w:eastAsia="Arial" w:hAnsi="Arial" w:cs="Arial"/>
      <w:i/>
      <w:iCs/>
      <w:spacing w:val="-9"/>
      <w:sz w:val="16"/>
      <w:szCs w:val="16"/>
    </w:rPr>
  </w:style>
  <w:style w:type="paragraph" w:customStyle="1" w:styleId="Headerorfooter70">
    <w:name w:val="Header or footer (7)"/>
    <w:basedOn w:val="Normal"/>
    <w:link w:val="Headerorfooter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312">
    <w:name w:val="Heading #31 (2)_"/>
    <w:basedOn w:val="DefaultParagraphFont"/>
    <w:link w:val="Heading31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Tableofcontents19">
    <w:name w:val="Table of contents (19)_"/>
    <w:basedOn w:val="DefaultParagraphFont"/>
    <w:link w:val="Tableofcontents190"/>
    <w:rPr>
      <w:rFonts w:ascii="Sylfaen" w:eastAsia="Sylfaen" w:hAnsi="Sylfaen" w:cs="Sylfaen"/>
      <w:b w:val="0"/>
      <w:bCs w:val="0"/>
      <w:i/>
      <w:iCs/>
      <w:smallCaps w:val="0"/>
      <w:strike w:val="0"/>
      <w:spacing w:val="-6"/>
      <w:sz w:val="18"/>
      <w:szCs w:val="18"/>
      <w:u w:val="none"/>
    </w:rPr>
  </w:style>
  <w:style w:type="character" w:customStyle="1" w:styleId="Tableofcontents19Spacing0pt">
    <w:name w:val="Table of contents (19) + Spacing 0 pt"/>
    <w:basedOn w:val="Tableofcontents1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lang w:val="ro-RO"/>
    </w:rPr>
  </w:style>
  <w:style w:type="character" w:customStyle="1" w:styleId="Tableofcontents1910ptNotItalicSpacing0pt">
    <w:name w:val="Table of contents (19) + 10 pt;Not Italic;Spacing 0 pt"/>
    <w:basedOn w:val="Tableofcontents1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ofcontents1975ptNotItalicSpacing0pt">
    <w:name w:val="Table of contents (19) + 7;5 pt;Not Italic;Spacing 0 pt"/>
    <w:basedOn w:val="Tableofcontents1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ro-RO"/>
    </w:rPr>
  </w:style>
  <w:style w:type="character" w:customStyle="1" w:styleId="Tableofcontents18">
    <w:name w:val="Table of contents (18)_"/>
    <w:basedOn w:val="DefaultParagraphFont"/>
    <w:link w:val="Tableofcontents1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Tableofcontents18Sylfaen75ptSpacing0pt">
    <w:name w:val="Table of contents (18) + Sylfaen;7;5 pt;Spacing 0 pt"/>
    <w:basedOn w:val="Tableofcontents1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o-RO"/>
    </w:rPr>
  </w:style>
  <w:style w:type="character" w:customStyle="1" w:styleId="Tableofcontents18Spacing0pt">
    <w:name w:val="Table of contents (18) + Spacing 0 pt"/>
    <w:basedOn w:val="Tableofcontents1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o-RO"/>
    </w:rPr>
  </w:style>
  <w:style w:type="character" w:customStyle="1" w:styleId="Tableofcontents10">
    <w:name w:val="Table of contents (10)_"/>
    <w:basedOn w:val="DefaultParagraphFont"/>
    <w:link w:val="Tableofcontents10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Tableofcontents10Spacing0pt">
    <w:name w:val="Table of contents (10) + Spacing 0 pt"/>
    <w:basedOn w:val="Tableofcontents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o-RO"/>
    </w:rPr>
  </w:style>
  <w:style w:type="character" w:customStyle="1" w:styleId="Tableofcontents20">
    <w:name w:val="Table of contents (20)_"/>
    <w:basedOn w:val="DefaultParagraphFont"/>
    <w:link w:val="Tableofcontents200"/>
    <w:rPr>
      <w:rFonts w:ascii="Arial" w:eastAsia="Arial" w:hAnsi="Arial" w:cs="Arial"/>
      <w:b w:val="0"/>
      <w:bCs w:val="0"/>
      <w:i/>
      <w:iCs/>
      <w:smallCaps w:val="0"/>
      <w:strike w:val="0"/>
      <w:spacing w:val="-9"/>
      <w:sz w:val="16"/>
      <w:szCs w:val="16"/>
      <w:u w:val="none"/>
    </w:rPr>
  </w:style>
  <w:style w:type="character" w:customStyle="1" w:styleId="Tableofcontents10TimesNewRoman85ptItalicSpacing0pt">
    <w:name w:val="Table of contents (10) + Times New Roman;8;5 pt;Italic;Spacing 0 pt"/>
    <w:basedOn w:val="Tableofcontent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lang w:val="ro-RO"/>
    </w:rPr>
  </w:style>
  <w:style w:type="character" w:customStyle="1" w:styleId="Headerorfooter7">
    <w:name w:val="Header or footer (7)_"/>
    <w:basedOn w:val="DefaultParagraphFont"/>
    <w:link w:val="Headerorfooter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120">
    <w:name w:val="Heading #31 (2)"/>
    <w:basedOn w:val="Normal"/>
    <w:link w:val="Heading312"/>
    <w:pPr>
      <w:shd w:val="clear" w:color="auto" w:fill="FFFFFF"/>
      <w:spacing w:after="1560" w:line="0" w:lineRule="atLeast"/>
      <w:jc w:val="center"/>
    </w:pPr>
    <w:rPr>
      <w:rFonts w:ascii="Sylfaen" w:eastAsia="Sylfaen" w:hAnsi="Sylfaen" w:cs="Sylfaen"/>
      <w:spacing w:val="3"/>
      <w:sz w:val="15"/>
      <w:szCs w:val="15"/>
    </w:rPr>
  </w:style>
  <w:style w:type="paragraph" w:customStyle="1" w:styleId="Tableofcontents190">
    <w:name w:val="Table of contents (19)"/>
    <w:basedOn w:val="Normal"/>
    <w:link w:val="Tableofcontents19"/>
    <w:pPr>
      <w:shd w:val="clear" w:color="auto" w:fill="FFFFFF"/>
      <w:spacing w:before="120" w:line="0" w:lineRule="atLeast"/>
      <w:jc w:val="both"/>
    </w:pPr>
    <w:rPr>
      <w:rFonts w:ascii="Sylfaen" w:eastAsia="Sylfaen" w:hAnsi="Sylfaen" w:cs="Sylfaen"/>
      <w:i/>
      <w:iCs/>
      <w:spacing w:val="-6"/>
      <w:sz w:val="18"/>
      <w:szCs w:val="18"/>
    </w:rPr>
  </w:style>
  <w:style w:type="paragraph" w:customStyle="1" w:styleId="Tableofcontents180">
    <w:name w:val="Table of contents (18)"/>
    <w:basedOn w:val="Normal"/>
    <w:link w:val="Tableofcontents18"/>
    <w:pPr>
      <w:shd w:val="clear" w:color="auto" w:fill="FFFFFF"/>
      <w:spacing w:line="250" w:lineRule="exact"/>
      <w:jc w:val="both"/>
    </w:pPr>
    <w:rPr>
      <w:rFonts w:ascii="Century Gothic" w:eastAsia="Century Gothic" w:hAnsi="Century Gothic" w:cs="Century Gothic"/>
      <w:spacing w:val="7"/>
      <w:sz w:val="16"/>
      <w:szCs w:val="16"/>
    </w:rPr>
  </w:style>
  <w:style w:type="paragraph" w:customStyle="1" w:styleId="Tableofcontents100">
    <w:name w:val="Table of contents (10)"/>
    <w:basedOn w:val="Normal"/>
    <w:link w:val="Tableofcontents10"/>
    <w:pPr>
      <w:shd w:val="clear" w:color="auto" w:fill="FFFFFF"/>
      <w:spacing w:before="240" w:line="226" w:lineRule="exact"/>
      <w:jc w:val="both"/>
    </w:pPr>
    <w:rPr>
      <w:rFonts w:ascii="Sylfaen" w:eastAsia="Sylfaen" w:hAnsi="Sylfaen" w:cs="Sylfaen"/>
      <w:spacing w:val="7"/>
      <w:sz w:val="15"/>
      <w:szCs w:val="15"/>
    </w:rPr>
  </w:style>
  <w:style w:type="paragraph" w:customStyle="1" w:styleId="Tableofcontents200">
    <w:name w:val="Table of contents (20)"/>
    <w:basedOn w:val="Normal"/>
    <w:link w:val="Tableofcontents20"/>
    <w:pPr>
      <w:shd w:val="clear" w:color="auto" w:fill="FFFFFF"/>
      <w:spacing w:line="216" w:lineRule="exact"/>
      <w:jc w:val="both"/>
    </w:pPr>
    <w:rPr>
      <w:rFonts w:ascii="Arial" w:eastAsia="Arial" w:hAnsi="Arial" w:cs="Arial"/>
      <w:i/>
      <w:iCs/>
      <w:spacing w:val="-9"/>
      <w:sz w:val="16"/>
      <w:szCs w:val="16"/>
    </w:rPr>
  </w:style>
  <w:style w:type="paragraph" w:customStyle="1" w:styleId="Headerorfooter70">
    <w:name w:val="Header or footer (7)"/>
    <w:basedOn w:val="Normal"/>
    <w:link w:val="Headerorfooter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2020-09-22T09:38:00Z</dcterms:created>
  <dcterms:modified xsi:type="dcterms:W3CDTF">2020-09-23T05:13:00Z</dcterms:modified>
</cp:coreProperties>
</file>