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CB" w:rsidRPr="002129CB" w:rsidRDefault="002129CB" w:rsidP="002129CB">
      <w:pPr>
        <w:rPr>
          <w:sz w:val="20"/>
          <w:szCs w:val="20"/>
        </w:rPr>
      </w:pPr>
      <w:r w:rsidRPr="002129CB">
        <w:rPr>
          <w:noProof/>
          <w:sz w:val="20"/>
          <w:szCs w:val="20"/>
          <w:lang w:val="ru-RU"/>
        </w:rPr>
        <w:drawing>
          <wp:inline distT="0" distB="0" distL="0" distR="0" wp14:anchorId="6E2B5A3A" wp14:editId="1031441B">
            <wp:extent cx="3710763" cy="5199321"/>
            <wp:effectExtent l="76200" t="76200" r="118745" b="1162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6" b="2759"/>
                    <a:stretch/>
                  </pic:blipFill>
                  <pic:spPr bwMode="auto">
                    <a:xfrm>
                      <a:off x="0" y="0"/>
                      <a:ext cx="3710662" cy="51991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9CB" w:rsidRPr="002129CB" w:rsidRDefault="002129CB">
      <w:pPr>
        <w:rPr>
          <w:rStyle w:val="Bodytext551"/>
          <w:sz w:val="20"/>
          <w:szCs w:val="20"/>
        </w:rPr>
      </w:pPr>
      <w:r w:rsidRPr="002129CB">
        <w:rPr>
          <w:rStyle w:val="Bodytext551"/>
          <w:sz w:val="20"/>
          <w:szCs w:val="20"/>
        </w:rPr>
        <w:br w:type="page"/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bookmarkStart w:id="0" w:name="bookmark0"/>
      <w:r w:rsidRPr="002129CB">
        <w:lastRenderedPageBreak/>
        <w:t>CUPRINS:</w:t>
      </w:r>
      <w:bookmarkEnd w:id="0"/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t>ABREVIERI</w:t>
      </w:r>
      <w:r w:rsidRPr="002129CB">
        <w:tab/>
      </w:r>
      <w:r w:rsidRPr="002129CB">
        <w:tab/>
        <w:t>3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t>INTRODUCERE</w:t>
      </w:r>
      <w:r w:rsidRPr="002129CB">
        <w:tab/>
        <w:t>4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</w:pPr>
      <w:r w:rsidRPr="002129CB">
        <w:t>Capitolul 1. CONSIDERAŢII TEORETICE PRIVIND SPECIFICUL COMPORTAMENTULUI CONSUMATORULUI ŞI POLITICII DE MARKETING ÎN SERVICII 7 1.1 Aspecte teoretice privind conceptul de comportament al consumatorului şi importanţa lui în activitatea întreprinderii</w:t>
      </w:r>
      <w:r>
        <w:t xml:space="preserve"> </w:t>
      </w:r>
      <w:r w:rsidRPr="002129CB">
        <w:tab/>
      </w:r>
      <w:r w:rsidRPr="002129CB">
        <w:tab/>
        <w:t>7</w:t>
      </w:r>
    </w:p>
    <w:p w:rsidR="002129CB" w:rsidRPr="002129CB" w:rsidRDefault="002129CB" w:rsidP="002129CB">
      <w:pPr>
        <w:pStyle w:val="Tableofcontents190"/>
        <w:numPr>
          <w:ilvl w:val="0"/>
          <w:numId w:val="1"/>
        </w:numPr>
        <w:tabs>
          <w:tab w:val="left" w:pos="426"/>
          <w:tab w:val="left" w:leader="dot" w:pos="5489"/>
        </w:tabs>
        <w:spacing w:line="200" w:lineRule="exact"/>
      </w:pPr>
      <w:r w:rsidRPr="002129CB">
        <w:t>Mix-ul de marketing - componentă esenţială a politicii de marketing a întreprinderii de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t>servicii</w:t>
      </w:r>
      <w:r w:rsidRPr="002129CB">
        <w:tab/>
        <w:t>.16</w:t>
      </w:r>
    </w:p>
    <w:p w:rsidR="002129CB" w:rsidRPr="002129CB" w:rsidRDefault="002129CB" w:rsidP="002129CB">
      <w:pPr>
        <w:pStyle w:val="Tableofcontents190"/>
        <w:numPr>
          <w:ilvl w:val="0"/>
          <w:numId w:val="1"/>
        </w:numPr>
        <w:tabs>
          <w:tab w:val="left" w:pos="426"/>
          <w:tab w:val="left" w:leader="dot" w:pos="5489"/>
        </w:tabs>
        <w:spacing w:line="200" w:lineRule="exact"/>
      </w:pPr>
      <w:r w:rsidRPr="002129CB">
        <w:t>Particularităţile dimensiunilor comportamentale şi a sistemului decizional manifestat de</w:t>
      </w:r>
      <w:r>
        <w:t xml:space="preserve"> </w:t>
      </w:r>
      <w:r w:rsidRPr="002129CB">
        <w:t>consumatorii de servicii</w:t>
      </w:r>
      <w:r>
        <w:t xml:space="preserve"> </w:t>
      </w:r>
      <w:r w:rsidRPr="002129CB">
        <w:tab/>
      </w:r>
      <w:r w:rsidRPr="002129CB">
        <w:tab/>
        <w:t>35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</w:pPr>
      <w:r w:rsidRPr="002129CB">
        <w:t>Capitolul 2. INVESTIGAREA PIEŢEI SERVICIILOR DE CLEANING ÎN REPUBLICA MOLDOVA</w:t>
      </w:r>
      <w:r w:rsidRPr="002129CB">
        <w:tab/>
      </w:r>
      <w:r w:rsidRPr="002129CB">
        <w:tab/>
        <w:t>48</w:t>
      </w:r>
    </w:p>
    <w:p w:rsidR="002129CB" w:rsidRPr="002129CB" w:rsidRDefault="002129CB" w:rsidP="002129CB">
      <w:pPr>
        <w:pStyle w:val="Tableofcontents190"/>
        <w:numPr>
          <w:ilvl w:val="0"/>
          <w:numId w:val="2"/>
        </w:numPr>
        <w:tabs>
          <w:tab w:val="left" w:pos="426"/>
          <w:tab w:val="left" w:leader="dot" w:pos="5489"/>
        </w:tabs>
        <w:spacing w:line="200" w:lineRule="exact"/>
      </w:pPr>
      <w:r w:rsidRPr="002129CB">
        <w:t xml:space="preserve">Caracteristica pieţei serviciilor de </w:t>
      </w:r>
      <w:proofErr w:type="spellStart"/>
      <w:r w:rsidRPr="002129CB">
        <w:t>cleanmg</w:t>
      </w:r>
      <w:proofErr w:type="spellEnd"/>
      <w:r w:rsidRPr="002129CB">
        <w:tab/>
      </w:r>
      <w:r w:rsidRPr="002129CB">
        <w:tab/>
        <w:t>48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t>22. Identificarea segmentelor de piaţă ţintă în baza sondajului de opinie</w:t>
      </w:r>
      <w:r w:rsidRPr="002129CB">
        <w:tab/>
        <w:t>61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t>2.3 Analiza şi operaţionalizarea cercetării comportamentului consumatorului de servicii de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proofErr w:type="spellStart"/>
      <w:r w:rsidRPr="002129CB">
        <w:t>deaning</w:t>
      </w:r>
      <w:proofErr w:type="spellEnd"/>
      <w:r w:rsidRPr="002129CB">
        <w:tab/>
        <w:t>...76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</w:pPr>
      <w:r w:rsidRPr="002129CB">
        <w:t>Capitolul 3. FUNDAMENTAREA POLITICII DE MARKETING A ÎNTREPRINDERII.ORDIN DOMENIUL SERVICIILOR DE CLEANING</w:t>
      </w:r>
      <w:r w:rsidRPr="002129CB">
        <w:tab/>
        <w:t>85</w:t>
      </w:r>
    </w:p>
    <w:p w:rsidR="002129CB" w:rsidRPr="002129CB" w:rsidRDefault="002129CB" w:rsidP="002129CB">
      <w:pPr>
        <w:pStyle w:val="Tableofcontents190"/>
        <w:numPr>
          <w:ilvl w:val="0"/>
          <w:numId w:val="3"/>
        </w:numPr>
        <w:tabs>
          <w:tab w:val="left" w:pos="426"/>
          <w:tab w:val="left" w:leader="dot" w:pos="5489"/>
        </w:tabs>
        <w:spacing w:line="200" w:lineRule="exact"/>
      </w:pPr>
      <w:r w:rsidRPr="002129CB">
        <w:t xml:space="preserve">Politica de produs şi evidenţe materiale în domeniul serviciilor de </w:t>
      </w:r>
      <w:proofErr w:type="spellStart"/>
      <w:r w:rsidRPr="002129CB">
        <w:t>cleanmg</w:t>
      </w:r>
      <w:proofErr w:type="spellEnd"/>
      <w:r w:rsidRPr="002129CB">
        <w:t xml:space="preserve"> formulate în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</w:pPr>
      <w:r w:rsidRPr="002129CB">
        <w:t>funcţie de comportamentul consumatorilor</w:t>
      </w:r>
      <w:r w:rsidRPr="002129CB">
        <w:tab/>
        <w:t>85</w:t>
      </w:r>
    </w:p>
    <w:p w:rsidR="002129CB" w:rsidRPr="002129CB" w:rsidRDefault="002129CB" w:rsidP="002129CB">
      <w:pPr>
        <w:pStyle w:val="Tableofcontents190"/>
        <w:numPr>
          <w:ilvl w:val="0"/>
          <w:numId w:val="3"/>
        </w:numPr>
        <w:tabs>
          <w:tab w:val="left" w:pos="426"/>
          <w:tab w:val="left" w:leader="dot" w:pos="5489"/>
        </w:tabs>
        <w:spacing w:line="200" w:lineRule="exact"/>
      </w:pPr>
      <w:r w:rsidRPr="002129CB">
        <w:t xml:space="preserve">Formularea politicii de distribuţie, proces şi personal în domeniul serviciilor de </w:t>
      </w:r>
      <w:proofErr w:type="spellStart"/>
      <w:r w:rsidRPr="002129CB">
        <w:t>cleanmg</w:t>
      </w:r>
      <w:proofErr w:type="spellEnd"/>
      <w:r w:rsidRPr="002129CB">
        <w:t xml:space="preserve"> în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</w:pPr>
      <w:r w:rsidRPr="002129CB">
        <w:t>funcţie de comportamentul consumatorilor</w:t>
      </w:r>
      <w:r w:rsidRPr="002129CB">
        <w:tab/>
        <w:t>95</w:t>
      </w:r>
    </w:p>
    <w:p w:rsidR="002129CB" w:rsidRPr="002129CB" w:rsidRDefault="002129CB" w:rsidP="002129CB">
      <w:pPr>
        <w:pStyle w:val="Tableofcontents190"/>
        <w:numPr>
          <w:ilvl w:val="0"/>
          <w:numId w:val="3"/>
        </w:numPr>
        <w:tabs>
          <w:tab w:val="left" w:pos="426"/>
          <w:tab w:val="left" w:leader="dot" w:pos="5489"/>
        </w:tabs>
        <w:spacing w:line="200" w:lineRule="exact"/>
      </w:pPr>
      <w:r w:rsidRPr="002129CB">
        <w:t xml:space="preserve">Fundamentarea politicii de preţ şi promovare în domeniul serviciilor de </w:t>
      </w:r>
      <w:proofErr w:type="spellStart"/>
      <w:r w:rsidRPr="002129CB">
        <w:t>cleaning</w:t>
      </w:r>
      <w:proofErr w:type="spellEnd"/>
      <w:r w:rsidRPr="002129CB">
        <w:t xml:space="preserve"> în funcţie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</w:pPr>
      <w:r w:rsidRPr="002129CB">
        <w:t>A: comportamentul consumatorilor</w:t>
      </w:r>
      <w:r w:rsidRPr="002129CB">
        <w:tab/>
        <w:t>108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t>CONCLUZII GENERALE ŞI RECOMANDĂRI</w:t>
      </w:r>
      <w:r w:rsidRPr="002129CB">
        <w:tab/>
        <w:t>120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lastRenderedPageBreak/>
        <w:t>BIBLIOGRAFIA</w:t>
      </w:r>
      <w:r w:rsidRPr="002129CB">
        <w:tab/>
        <w:t>124</w:t>
      </w:r>
    </w:p>
    <w:p w:rsidR="002129CB" w:rsidRPr="002129CB" w:rsidRDefault="002129CB" w:rsidP="002129CB">
      <w:pPr>
        <w:pStyle w:val="Tableofcontents190"/>
        <w:tabs>
          <w:tab w:val="left" w:leader="dot" w:pos="5489"/>
        </w:tabs>
        <w:spacing w:line="200" w:lineRule="exact"/>
        <w:ind w:left="20"/>
      </w:pPr>
      <w:r w:rsidRPr="002129CB">
        <w:t xml:space="preserve">ANEXE </w:t>
      </w:r>
      <w:r w:rsidRPr="002129CB">
        <w:tab/>
        <w:t>137</w:t>
      </w:r>
    </w:p>
    <w:p w:rsidR="00144178" w:rsidRDefault="00144178">
      <w:pPr>
        <w:pStyle w:val="Tableofcontents190"/>
        <w:shd w:val="clear" w:color="auto" w:fill="auto"/>
        <w:tabs>
          <w:tab w:val="left" w:leader="dot" w:pos="5489"/>
        </w:tabs>
        <w:spacing w:before="0" w:line="200" w:lineRule="exact"/>
        <w:ind w:left="20"/>
      </w:pPr>
    </w:p>
    <w:p w:rsidR="002129CB" w:rsidRDefault="002129CB">
      <w:pPr>
        <w:pStyle w:val="Tableofcontents190"/>
        <w:shd w:val="clear" w:color="auto" w:fill="auto"/>
        <w:tabs>
          <w:tab w:val="left" w:leader="dot" w:pos="5489"/>
        </w:tabs>
        <w:spacing w:before="0" w:line="200" w:lineRule="exact"/>
        <w:ind w:left="20"/>
      </w:pPr>
    </w:p>
    <w:p w:rsidR="002129CB" w:rsidRDefault="002129CB" w:rsidP="00BC4B4F">
      <w:pPr>
        <w:autoSpaceDN w:val="0"/>
        <w:spacing w:before="100" w:beforeAutospacing="1" w:after="100" w:afterAutospacing="1"/>
        <w:contextualSpacing/>
        <w:rPr>
          <w:rFonts w:ascii="Arial" w:eastAsia="Book Antiqua" w:hAnsi="Arial" w:cs="Arial"/>
          <w:sz w:val="20"/>
          <w:szCs w:val="20"/>
        </w:rPr>
      </w:pPr>
      <w:bookmarkStart w:id="1" w:name="_GoBack"/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BC4B4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Aspecte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conceptuale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şi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metodologice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formularea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politicii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marketing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întreprinderii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servicii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cleaning</w:t>
      </w:r>
      <w:proofErr w:type="spellEnd"/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sub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influenţa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comportamentului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consumatorului: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Monografie.</w:t>
      </w:r>
    </w:p>
    <w:p w:rsidR="002129CB" w:rsidRPr="002C6E95" w:rsidRDefault="002129CB" w:rsidP="00BC4B4F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BC4B4F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Remeşovschi</w:t>
      </w:r>
      <w:proofErr w:type="spellEnd"/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Natalia</w:t>
      </w:r>
    </w:p>
    <w:p w:rsidR="002129CB" w:rsidRPr="002C6E95" w:rsidRDefault="002129CB" w:rsidP="00BC4B4F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BC4B4F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>
        <w:rPr>
          <w:rFonts w:ascii="Arial" w:eastAsia="Book Antiqua" w:hAnsi="Arial" w:cs="Arial"/>
          <w:sz w:val="20"/>
          <w:szCs w:val="20"/>
          <w:lang w:val="fr-CA"/>
        </w:rPr>
        <w:t>: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Imi</w:t>
      </w:r>
      <w:proofErr w:type="spellEnd"/>
      <w:r>
        <w:rPr>
          <w:rFonts w:ascii="Arial" w:eastAsia="Book Antiqua" w:hAnsi="Arial" w:cs="Arial"/>
          <w:sz w:val="20"/>
          <w:szCs w:val="20"/>
          <w:lang w:val="fr-CA"/>
        </w:rPr>
        <w:t>-Nova,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2019</w:t>
      </w:r>
    </w:p>
    <w:p w:rsidR="002129CB" w:rsidRPr="002C6E95" w:rsidRDefault="002129CB" w:rsidP="00BC4B4F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BC4B4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339.138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R</w:t>
      </w:r>
      <w:r w:rsidR="00BC4B4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44</w:t>
      </w:r>
    </w:p>
    <w:p w:rsidR="002129CB" w:rsidRPr="002C6E95" w:rsidRDefault="002129CB" w:rsidP="00BC4B4F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BC4B4F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BC4B4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2129CB" w:rsidRPr="00367C85" w:rsidRDefault="002129CB" w:rsidP="00BC4B4F">
      <w:pPr>
        <w:autoSpaceDN w:val="0"/>
        <w:spacing w:after="240"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BC4B4F">
        <w:rPr>
          <w:rFonts w:ascii="Arial" w:eastAsia="SimSun" w:hAnsi="Arial" w:cs="Arial"/>
          <w:lang w:val="fr-CA" w:eastAsia="zh-CN"/>
        </w:rPr>
        <w:t xml:space="preserve">  </w:t>
      </w:r>
    </w:p>
    <w:bookmarkEnd w:id="1"/>
    <w:p w:rsidR="002129CB" w:rsidRPr="002129CB" w:rsidRDefault="002129CB">
      <w:pPr>
        <w:pStyle w:val="Tableofcontents190"/>
        <w:shd w:val="clear" w:color="auto" w:fill="auto"/>
        <w:tabs>
          <w:tab w:val="left" w:leader="dot" w:pos="5489"/>
        </w:tabs>
        <w:spacing w:before="0" w:line="200" w:lineRule="exact"/>
        <w:ind w:left="20"/>
      </w:pPr>
    </w:p>
    <w:sectPr w:rsidR="002129CB" w:rsidRPr="002129CB" w:rsidSect="002129CB">
      <w:type w:val="continuous"/>
      <w:pgSz w:w="8391" w:h="11906"/>
      <w:pgMar w:top="1231" w:right="1178" w:bottom="1276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E3" w:rsidRDefault="006473E3">
      <w:r>
        <w:separator/>
      </w:r>
    </w:p>
  </w:endnote>
  <w:endnote w:type="continuationSeparator" w:id="0">
    <w:p w:rsidR="006473E3" w:rsidRDefault="0064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E3" w:rsidRDefault="006473E3"/>
  </w:footnote>
  <w:footnote w:type="continuationSeparator" w:id="0">
    <w:p w:rsidR="006473E3" w:rsidRDefault="006473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87B"/>
    <w:multiLevelType w:val="multilevel"/>
    <w:tmpl w:val="9A1A7F6C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747C8"/>
    <w:multiLevelType w:val="multilevel"/>
    <w:tmpl w:val="800606B4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07B3B"/>
    <w:multiLevelType w:val="multilevel"/>
    <w:tmpl w:val="D350228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8"/>
    <w:rsid w:val="00144178"/>
    <w:rsid w:val="002129CB"/>
    <w:rsid w:val="006473E3"/>
    <w:rsid w:val="00BC4B4F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1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Heading31">
    <w:name w:val="Heading #31_"/>
    <w:basedOn w:val="DefaultParagraphFont"/>
    <w:link w:val="Heading3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1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19">
    <w:name w:val="Table of contents (19)_"/>
    <w:basedOn w:val="DefaultParagraphFont"/>
    <w:link w:val="Tableofcontents190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ofcontents1995ptNotItalic">
    <w:name w:val="Table of contents (19) + 9;5 pt;Not Italic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ing310">
    <w:name w:val="Heading #31"/>
    <w:basedOn w:val="Normal"/>
    <w:link w:val="Heading31"/>
    <w:pPr>
      <w:shd w:val="clear" w:color="auto" w:fill="FFFFFF"/>
      <w:spacing w:before="240" w:after="120" w:line="0" w:lineRule="atLeast"/>
      <w:jc w:val="righ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190">
    <w:name w:val="Table of contents (19)"/>
    <w:basedOn w:val="Normal"/>
    <w:link w:val="Tableofcontents19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1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Heading31">
    <w:name w:val="Heading #31_"/>
    <w:basedOn w:val="DefaultParagraphFont"/>
    <w:link w:val="Heading3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1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19">
    <w:name w:val="Table of contents (19)_"/>
    <w:basedOn w:val="DefaultParagraphFont"/>
    <w:link w:val="Tableofcontents190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ofcontents1995ptNotItalic">
    <w:name w:val="Table of contents (19) + 9;5 pt;Not Italic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ing310">
    <w:name w:val="Heading #31"/>
    <w:basedOn w:val="Normal"/>
    <w:link w:val="Heading31"/>
    <w:pPr>
      <w:shd w:val="clear" w:color="auto" w:fill="FFFFFF"/>
      <w:spacing w:before="240" w:after="120" w:line="0" w:lineRule="atLeast"/>
      <w:jc w:val="righ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190">
    <w:name w:val="Table of contents (19)"/>
    <w:basedOn w:val="Normal"/>
    <w:link w:val="Tableofcontents19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2020-09-22T09:24:00Z</dcterms:created>
  <dcterms:modified xsi:type="dcterms:W3CDTF">2020-09-22T12:32:00Z</dcterms:modified>
</cp:coreProperties>
</file>